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F0C6"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6C2FBD1C"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7E76CB90"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6A5F1B">
        <w:rPr>
          <w:color w:val="000000"/>
          <w:sz w:val="22"/>
          <w:szCs w:val="22"/>
        </w:rPr>
        <w:t>Winter 2015</w:t>
      </w:r>
    </w:p>
    <w:p w14:paraId="2E6C3ED6" w14:textId="77777777" w:rsidR="00C93A29" w:rsidRPr="0036127B" w:rsidRDefault="00C93A29" w:rsidP="00C93A29">
      <w:pPr>
        <w:autoSpaceDE w:val="0"/>
        <w:autoSpaceDN w:val="0"/>
        <w:adjustRightInd w:val="0"/>
        <w:jc w:val="center"/>
        <w:rPr>
          <w:b/>
          <w:color w:val="000000"/>
          <w:sz w:val="22"/>
          <w:szCs w:val="22"/>
        </w:rPr>
      </w:pPr>
    </w:p>
    <w:p w14:paraId="09B36466" w14:textId="779DDB00"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r w:rsidR="001B0E48">
        <w:rPr>
          <w:b/>
          <w:color w:val="000000"/>
          <w:sz w:val="22"/>
          <w:szCs w:val="22"/>
        </w:rPr>
        <w:t xml:space="preserve"> </w:t>
      </w:r>
      <w:r w:rsidR="001B0E48">
        <w:rPr>
          <w:rStyle w:val="CommentReference"/>
        </w:rPr>
        <w:commentReference w:id="0"/>
      </w:r>
    </w:p>
    <w:p w14:paraId="421F4990"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4555EF1B" w14:textId="77777777" w:rsidR="00C93A29" w:rsidRPr="0036127B" w:rsidRDefault="00C93A29" w:rsidP="00410B89">
      <w:pPr>
        <w:autoSpaceDE w:val="0"/>
        <w:autoSpaceDN w:val="0"/>
        <w:adjustRightInd w:val="0"/>
        <w:rPr>
          <w:b/>
          <w:color w:val="000000"/>
          <w:sz w:val="22"/>
          <w:szCs w:val="22"/>
        </w:rPr>
      </w:pPr>
    </w:p>
    <w:p w14:paraId="5E054480" w14:textId="77777777" w:rsidR="00261CFB" w:rsidRPr="009D5804" w:rsidRDefault="00261CFB" w:rsidP="00261CFB">
      <w:pPr>
        <w:autoSpaceDE w:val="0"/>
        <w:autoSpaceDN w:val="0"/>
        <w:adjustRightInd w:val="0"/>
        <w:rPr>
          <w:sz w:val="22"/>
          <w:szCs w:val="22"/>
        </w:rPr>
      </w:pPr>
    </w:p>
    <w:p w14:paraId="0B21C5DC" w14:textId="77777777" w:rsidR="004D7832" w:rsidRPr="00AE6D68" w:rsidRDefault="004D7832" w:rsidP="00F538AE">
      <w:pPr>
        <w:numPr>
          <w:ilvl w:val="0"/>
          <w:numId w:val="19"/>
        </w:numPr>
        <w:autoSpaceDE w:val="0"/>
        <w:autoSpaceDN w:val="0"/>
        <w:adjustRightInd w:val="0"/>
        <w:spacing w:after="120"/>
        <w:rPr>
          <w:color w:val="0000FF"/>
          <w:sz w:val="22"/>
          <w:szCs w:val="22"/>
        </w:rPr>
      </w:pPr>
      <w:r w:rsidRPr="00AE6D68">
        <w:rPr>
          <w:color w:val="0000FF"/>
          <w:sz w:val="22"/>
          <w:szCs w:val="22"/>
        </w:rPr>
        <w:t xml:space="preserve">Provide suitable descriptive statistics pertinent to the scientific questions addressed in this </w:t>
      </w:r>
      <w:commentRangeStart w:id="2"/>
      <w:r w:rsidRPr="00AE6D68">
        <w:rPr>
          <w:color w:val="0000FF"/>
          <w:sz w:val="22"/>
          <w:szCs w:val="22"/>
        </w:rPr>
        <w:t>homework</w:t>
      </w:r>
      <w:commentRangeEnd w:id="2"/>
      <w:r w:rsidR="002D26E3">
        <w:rPr>
          <w:rStyle w:val="CommentReference"/>
        </w:rPr>
        <w:commentReference w:id="2"/>
      </w:r>
      <w:r w:rsidRPr="00AE6D68">
        <w:rPr>
          <w:color w:val="0000FF"/>
          <w:sz w:val="22"/>
          <w:szCs w:val="22"/>
        </w:rPr>
        <w:t>.</w:t>
      </w:r>
    </w:p>
    <w:p w14:paraId="43075B55" w14:textId="3E93AF5E" w:rsidR="008756CC" w:rsidRPr="00680D00" w:rsidRDefault="00310603" w:rsidP="004E2850">
      <w:pPr>
        <w:autoSpaceDE w:val="0"/>
        <w:autoSpaceDN w:val="0"/>
        <w:adjustRightInd w:val="0"/>
        <w:spacing w:after="120"/>
        <w:jc w:val="both"/>
        <w:rPr>
          <w:rFonts w:asciiTheme="majorHAnsi" w:hAnsiTheme="majorHAnsi"/>
          <w:sz w:val="24"/>
          <w:szCs w:val="24"/>
        </w:rPr>
      </w:pPr>
      <w:r w:rsidRPr="00680D00">
        <w:rPr>
          <w:rFonts w:asciiTheme="majorHAnsi" w:hAnsiTheme="majorHAnsi"/>
          <w:b/>
          <w:sz w:val="24"/>
          <w:szCs w:val="24"/>
          <w:u w:val="single"/>
        </w:rPr>
        <w:t>Method:</w:t>
      </w:r>
      <w:r w:rsidRPr="00680D00">
        <w:rPr>
          <w:rFonts w:asciiTheme="majorHAnsi" w:hAnsiTheme="majorHAnsi"/>
          <w:sz w:val="24"/>
          <w:szCs w:val="24"/>
        </w:rPr>
        <w:t xml:space="preserve"> The </w:t>
      </w:r>
      <w:r w:rsidR="00C1322F">
        <w:rPr>
          <w:rFonts w:asciiTheme="majorHAnsi" w:hAnsiTheme="majorHAnsi"/>
          <w:sz w:val="24"/>
          <w:szCs w:val="24"/>
        </w:rPr>
        <w:t xml:space="preserve">predictor of interest defined as </w:t>
      </w:r>
      <w:r w:rsidR="000A6C67">
        <w:rPr>
          <w:rFonts w:asciiTheme="majorHAnsi" w:hAnsiTheme="majorHAnsi"/>
          <w:sz w:val="24"/>
          <w:szCs w:val="24"/>
        </w:rPr>
        <w:t xml:space="preserve">baseline </w:t>
      </w:r>
      <w:r w:rsidRPr="00680D00">
        <w:rPr>
          <w:rFonts w:asciiTheme="majorHAnsi" w:hAnsiTheme="majorHAnsi"/>
          <w:sz w:val="24"/>
          <w:szCs w:val="24"/>
        </w:rPr>
        <w:t>serum bilirubin</w:t>
      </w:r>
      <w:r w:rsidR="00F6647F" w:rsidRPr="00680D00">
        <w:rPr>
          <w:rFonts w:asciiTheme="majorHAnsi" w:hAnsiTheme="majorHAnsi"/>
          <w:sz w:val="24"/>
          <w:szCs w:val="24"/>
        </w:rPr>
        <w:t xml:space="preserve"> measured in mg/</w:t>
      </w:r>
      <w:proofErr w:type="spellStart"/>
      <w:r w:rsidR="00F6647F" w:rsidRPr="00680D00">
        <w:rPr>
          <w:rFonts w:asciiTheme="majorHAnsi" w:hAnsiTheme="majorHAnsi"/>
          <w:sz w:val="24"/>
          <w:szCs w:val="24"/>
        </w:rPr>
        <w:t>dL</w:t>
      </w:r>
      <w:proofErr w:type="spellEnd"/>
      <w:r w:rsidRPr="00680D00">
        <w:rPr>
          <w:rFonts w:asciiTheme="majorHAnsi" w:hAnsiTheme="majorHAnsi"/>
          <w:sz w:val="24"/>
          <w:szCs w:val="24"/>
        </w:rPr>
        <w:t xml:space="preserve"> was categorized into six groups</w:t>
      </w:r>
      <w:r w:rsidR="002C2A4A" w:rsidRPr="00680D00">
        <w:rPr>
          <w:rFonts w:asciiTheme="majorHAnsi" w:hAnsiTheme="majorHAnsi"/>
          <w:sz w:val="24"/>
          <w:szCs w:val="24"/>
        </w:rPr>
        <w:t xml:space="preserve"> (0, 1, 2-4, 5-8, 9-16, 17-28</w:t>
      </w:r>
      <w:r w:rsidR="000D09B4" w:rsidRPr="00680D00">
        <w:rPr>
          <w:rFonts w:asciiTheme="majorHAnsi" w:hAnsiTheme="majorHAnsi"/>
          <w:sz w:val="24"/>
          <w:szCs w:val="24"/>
        </w:rPr>
        <w:t>)</w:t>
      </w:r>
      <w:r w:rsidR="000A6C67">
        <w:rPr>
          <w:rFonts w:asciiTheme="majorHAnsi" w:hAnsiTheme="majorHAnsi"/>
          <w:sz w:val="24"/>
          <w:szCs w:val="24"/>
        </w:rPr>
        <w:t xml:space="preserve"> based on </w:t>
      </w:r>
      <w:r w:rsidR="00C1322F">
        <w:rPr>
          <w:rFonts w:asciiTheme="majorHAnsi" w:hAnsiTheme="majorHAnsi"/>
          <w:sz w:val="24"/>
          <w:szCs w:val="24"/>
        </w:rPr>
        <w:t xml:space="preserve">the expected </w:t>
      </w:r>
      <w:r w:rsidRPr="00680D00">
        <w:rPr>
          <w:rFonts w:asciiTheme="majorHAnsi" w:hAnsiTheme="majorHAnsi"/>
          <w:sz w:val="24"/>
          <w:szCs w:val="24"/>
        </w:rPr>
        <w:t>multip</w:t>
      </w:r>
      <w:r w:rsidR="002C2A4A" w:rsidRPr="00680D00">
        <w:rPr>
          <w:rFonts w:asciiTheme="majorHAnsi" w:hAnsiTheme="majorHAnsi"/>
          <w:sz w:val="24"/>
          <w:szCs w:val="24"/>
        </w:rPr>
        <w:t xml:space="preserve">licative </w:t>
      </w:r>
      <w:r w:rsidR="00C1322F">
        <w:rPr>
          <w:rFonts w:asciiTheme="majorHAnsi" w:hAnsiTheme="majorHAnsi"/>
          <w:sz w:val="24"/>
          <w:szCs w:val="24"/>
        </w:rPr>
        <w:t xml:space="preserve">biological </w:t>
      </w:r>
      <w:r w:rsidR="002C2A4A" w:rsidRPr="00680D00">
        <w:rPr>
          <w:rFonts w:asciiTheme="majorHAnsi" w:hAnsiTheme="majorHAnsi"/>
          <w:sz w:val="24"/>
          <w:szCs w:val="24"/>
        </w:rPr>
        <w:t xml:space="preserve">increments </w:t>
      </w:r>
      <w:r w:rsidR="000D09B4" w:rsidRPr="00680D00">
        <w:rPr>
          <w:rFonts w:asciiTheme="majorHAnsi" w:hAnsiTheme="majorHAnsi"/>
          <w:sz w:val="24"/>
          <w:szCs w:val="24"/>
        </w:rPr>
        <w:t xml:space="preserve">of bilirubin levels </w:t>
      </w:r>
      <w:r w:rsidR="002C2A4A" w:rsidRPr="00680D00">
        <w:rPr>
          <w:rFonts w:asciiTheme="majorHAnsi" w:hAnsiTheme="majorHAnsi"/>
          <w:sz w:val="24"/>
          <w:szCs w:val="24"/>
        </w:rPr>
        <w:t>in pathological states</w:t>
      </w:r>
      <w:r w:rsidR="00E0035B">
        <w:rPr>
          <w:rFonts w:asciiTheme="majorHAnsi" w:hAnsiTheme="majorHAnsi"/>
          <w:sz w:val="24"/>
          <w:szCs w:val="24"/>
        </w:rPr>
        <w:t xml:space="preserve"> (all the participants have</w:t>
      </w:r>
      <w:r w:rsidR="00061C6B">
        <w:rPr>
          <w:rFonts w:asciiTheme="majorHAnsi" w:hAnsiTheme="majorHAnsi"/>
          <w:sz w:val="24"/>
          <w:szCs w:val="24"/>
        </w:rPr>
        <w:t xml:space="preserve"> primary biliary cirrhosis</w:t>
      </w:r>
      <w:r w:rsidR="00E0035B">
        <w:rPr>
          <w:rFonts w:asciiTheme="majorHAnsi" w:hAnsiTheme="majorHAnsi"/>
          <w:sz w:val="24"/>
          <w:szCs w:val="24"/>
        </w:rPr>
        <w:t>)</w:t>
      </w:r>
      <w:r w:rsidR="002C2A4A" w:rsidRPr="00680D00">
        <w:rPr>
          <w:rFonts w:asciiTheme="majorHAnsi" w:hAnsiTheme="majorHAnsi"/>
          <w:sz w:val="24"/>
          <w:szCs w:val="24"/>
        </w:rPr>
        <w:t>.</w:t>
      </w:r>
      <w:r w:rsidR="00214E39" w:rsidRPr="00680D00">
        <w:rPr>
          <w:rFonts w:asciiTheme="majorHAnsi" w:hAnsiTheme="majorHAnsi"/>
          <w:sz w:val="24"/>
          <w:szCs w:val="24"/>
        </w:rPr>
        <w:t xml:space="preserve"> </w:t>
      </w:r>
      <w:r w:rsidR="00C1322F">
        <w:rPr>
          <w:rFonts w:asciiTheme="majorHAnsi" w:hAnsiTheme="majorHAnsi"/>
          <w:sz w:val="24"/>
          <w:szCs w:val="24"/>
        </w:rPr>
        <w:t xml:space="preserve">For </w:t>
      </w:r>
      <w:r w:rsidR="00E0035B">
        <w:rPr>
          <w:rFonts w:asciiTheme="majorHAnsi" w:hAnsiTheme="majorHAnsi"/>
          <w:sz w:val="24"/>
          <w:szCs w:val="24"/>
        </w:rPr>
        <w:t xml:space="preserve">baseline serum bilirubin total and </w:t>
      </w:r>
      <w:r w:rsidR="00F05695">
        <w:rPr>
          <w:rFonts w:asciiTheme="majorHAnsi" w:hAnsiTheme="majorHAnsi"/>
          <w:sz w:val="24"/>
          <w:szCs w:val="24"/>
        </w:rPr>
        <w:t xml:space="preserve">subcategories, </w:t>
      </w:r>
      <w:r w:rsidR="00C1322F">
        <w:rPr>
          <w:rFonts w:asciiTheme="majorHAnsi" w:hAnsiTheme="majorHAnsi"/>
          <w:sz w:val="24"/>
          <w:szCs w:val="24"/>
        </w:rPr>
        <w:t>t</w:t>
      </w:r>
      <w:r w:rsidR="00214E39" w:rsidRPr="00680D00">
        <w:rPr>
          <w:rFonts w:asciiTheme="majorHAnsi" w:hAnsiTheme="majorHAnsi"/>
          <w:sz w:val="24"/>
          <w:szCs w:val="24"/>
        </w:rPr>
        <w:t xml:space="preserve">he sample </w:t>
      </w:r>
      <w:r w:rsidR="00C1322F">
        <w:rPr>
          <w:rFonts w:asciiTheme="majorHAnsi" w:hAnsiTheme="majorHAnsi"/>
          <w:sz w:val="24"/>
          <w:szCs w:val="24"/>
        </w:rPr>
        <w:t>size</w:t>
      </w:r>
      <w:r w:rsidR="000D09B4" w:rsidRPr="00680D00">
        <w:rPr>
          <w:rFonts w:asciiTheme="majorHAnsi" w:hAnsiTheme="majorHAnsi"/>
          <w:sz w:val="24"/>
          <w:szCs w:val="24"/>
        </w:rPr>
        <w:t>, number of missing cases, mean</w:t>
      </w:r>
      <w:r w:rsidR="00214E39" w:rsidRPr="00680D00">
        <w:rPr>
          <w:rFonts w:asciiTheme="majorHAnsi" w:hAnsiTheme="majorHAnsi"/>
          <w:sz w:val="24"/>
          <w:szCs w:val="24"/>
        </w:rPr>
        <w:t>, standard deviation, minimu</w:t>
      </w:r>
      <w:r w:rsidR="002C2A4A" w:rsidRPr="00680D00">
        <w:rPr>
          <w:rFonts w:asciiTheme="majorHAnsi" w:hAnsiTheme="majorHAnsi"/>
          <w:sz w:val="24"/>
          <w:szCs w:val="24"/>
        </w:rPr>
        <w:t xml:space="preserve">m and maximum were </w:t>
      </w:r>
      <w:r w:rsidR="00F05695">
        <w:rPr>
          <w:rFonts w:asciiTheme="majorHAnsi" w:hAnsiTheme="majorHAnsi"/>
          <w:sz w:val="24"/>
          <w:szCs w:val="24"/>
        </w:rPr>
        <w:t>used to describe</w:t>
      </w:r>
      <w:r w:rsidR="00214E39" w:rsidRPr="00680D00">
        <w:rPr>
          <w:rFonts w:asciiTheme="majorHAnsi" w:hAnsiTheme="majorHAnsi"/>
          <w:sz w:val="24"/>
          <w:szCs w:val="24"/>
        </w:rPr>
        <w:t xml:space="preserve"> continuous variables</w:t>
      </w:r>
      <w:r w:rsidR="00F05695">
        <w:rPr>
          <w:rFonts w:asciiTheme="majorHAnsi" w:hAnsiTheme="majorHAnsi"/>
          <w:sz w:val="24"/>
          <w:szCs w:val="24"/>
        </w:rPr>
        <w:t xml:space="preserve"> like</w:t>
      </w:r>
      <w:r w:rsidR="00061C6B">
        <w:rPr>
          <w:rFonts w:asciiTheme="majorHAnsi" w:hAnsiTheme="majorHAnsi"/>
          <w:sz w:val="24"/>
          <w:szCs w:val="24"/>
        </w:rPr>
        <w:t xml:space="preserve"> age</w:t>
      </w:r>
      <w:r w:rsidR="00214E39" w:rsidRPr="00680D00">
        <w:rPr>
          <w:rFonts w:asciiTheme="majorHAnsi" w:hAnsiTheme="majorHAnsi"/>
          <w:sz w:val="24"/>
          <w:szCs w:val="24"/>
        </w:rPr>
        <w:t xml:space="preserve"> </w:t>
      </w:r>
      <w:r w:rsidR="00C1322F">
        <w:rPr>
          <w:rFonts w:asciiTheme="majorHAnsi" w:hAnsiTheme="majorHAnsi"/>
          <w:sz w:val="24"/>
          <w:szCs w:val="24"/>
        </w:rPr>
        <w:t xml:space="preserve">(years), </w:t>
      </w:r>
      <w:r w:rsidR="00214E39" w:rsidRPr="00680D00">
        <w:rPr>
          <w:rFonts w:asciiTheme="majorHAnsi" w:hAnsiTheme="majorHAnsi"/>
          <w:sz w:val="24"/>
          <w:szCs w:val="24"/>
        </w:rPr>
        <w:t>while the sample size</w:t>
      </w:r>
      <w:r w:rsidR="000D09B4" w:rsidRPr="00680D00">
        <w:rPr>
          <w:rFonts w:asciiTheme="majorHAnsi" w:hAnsiTheme="majorHAnsi"/>
          <w:sz w:val="24"/>
          <w:szCs w:val="24"/>
        </w:rPr>
        <w:t>, number of missing cases</w:t>
      </w:r>
      <w:r w:rsidR="00214E39" w:rsidRPr="00680D00">
        <w:rPr>
          <w:rFonts w:asciiTheme="majorHAnsi" w:hAnsiTheme="majorHAnsi"/>
          <w:sz w:val="24"/>
          <w:szCs w:val="24"/>
        </w:rPr>
        <w:t xml:space="preserve"> and proportions were used for categorical variables</w:t>
      </w:r>
      <w:r w:rsidR="00F05695">
        <w:rPr>
          <w:rFonts w:asciiTheme="majorHAnsi" w:hAnsiTheme="majorHAnsi"/>
          <w:sz w:val="24"/>
          <w:szCs w:val="24"/>
        </w:rPr>
        <w:t xml:space="preserve"> like</w:t>
      </w:r>
      <w:r w:rsidR="00D556BD">
        <w:rPr>
          <w:rFonts w:asciiTheme="majorHAnsi" w:hAnsiTheme="majorHAnsi"/>
          <w:sz w:val="24"/>
          <w:szCs w:val="24"/>
        </w:rPr>
        <w:t xml:space="preserve"> sex (female) and those who received </w:t>
      </w:r>
      <w:r w:rsidR="00C1322F">
        <w:rPr>
          <w:rFonts w:asciiTheme="majorHAnsi" w:hAnsiTheme="majorHAnsi"/>
          <w:sz w:val="24"/>
          <w:szCs w:val="24"/>
        </w:rPr>
        <w:t>D-</w:t>
      </w:r>
      <w:proofErr w:type="spellStart"/>
      <w:r w:rsidR="00C1322F">
        <w:rPr>
          <w:rFonts w:asciiTheme="majorHAnsi" w:hAnsiTheme="majorHAnsi"/>
          <w:sz w:val="24"/>
          <w:szCs w:val="24"/>
        </w:rPr>
        <w:t>Penicillamine</w:t>
      </w:r>
      <w:proofErr w:type="spellEnd"/>
      <w:r w:rsidR="00C1322F">
        <w:rPr>
          <w:rFonts w:asciiTheme="majorHAnsi" w:hAnsiTheme="majorHAnsi"/>
          <w:sz w:val="24"/>
          <w:szCs w:val="24"/>
        </w:rPr>
        <w:t xml:space="preserve"> </w:t>
      </w:r>
      <w:r w:rsidR="00D556BD">
        <w:rPr>
          <w:rFonts w:asciiTheme="majorHAnsi" w:hAnsiTheme="majorHAnsi"/>
          <w:sz w:val="24"/>
          <w:szCs w:val="24"/>
        </w:rPr>
        <w:t>treatment</w:t>
      </w:r>
      <w:r w:rsidR="00C1322F">
        <w:rPr>
          <w:rFonts w:asciiTheme="majorHAnsi" w:hAnsiTheme="majorHAnsi"/>
          <w:sz w:val="24"/>
          <w:szCs w:val="24"/>
        </w:rPr>
        <w:t xml:space="preserve"> </w:t>
      </w:r>
      <w:r w:rsidR="00F05695">
        <w:rPr>
          <w:rFonts w:asciiTheme="majorHAnsi" w:hAnsiTheme="majorHAnsi"/>
          <w:sz w:val="24"/>
          <w:szCs w:val="24"/>
        </w:rPr>
        <w:t xml:space="preserve">which </w:t>
      </w:r>
      <w:r w:rsidR="00C1322F">
        <w:rPr>
          <w:rFonts w:asciiTheme="majorHAnsi" w:hAnsiTheme="majorHAnsi"/>
          <w:sz w:val="24"/>
          <w:szCs w:val="24"/>
        </w:rPr>
        <w:t xml:space="preserve">was </w:t>
      </w:r>
      <w:r w:rsidR="00D556BD">
        <w:rPr>
          <w:rFonts w:asciiTheme="majorHAnsi" w:hAnsiTheme="majorHAnsi"/>
          <w:sz w:val="24"/>
          <w:szCs w:val="24"/>
        </w:rPr>
        <w:t>specifically included</w:t>
      </w:r>
      <w:r w:rsidR="00C1322F">
        <w:rPr>
          <w:rFonts w:asciiTheme="majorHAnsi" w:hAnsiTheme="majorHAnsi"/>
          <w:sz w:val="24"/>
          <w:szCs w:val="24"/>
        </w:rPr>
        <w:t xml:space="preserve"> from the data set</w:t>
      </w:r>
      <w:r w:rsidR="00D556BD">
        <w:rPr>
          <w:rFonts w:asciiTheme="majorHAnsi" w:hAnsiTheme="majorHAnsi"/>
          <w:sz w:val="24"/>
          <w:szCs w:val="24"/>
        </w:rPr>
        <w:t xml:space="preserve"> because of its potential confounding effect</w:t>
      </w:r>
      <w:r w:rsidR="00C1322F">
        <w:rPr>
          <w:rFonts w:asciiTheme="majorHAnsi" w:hAnsiTheme="majorHAnsi"/>
          <w:sz w:val="24"/>
          <w:szCs w:val="24"/>
        </w:rPr>
        <w:t xml:space="preserve"> in our</w:t>
      </w:r>
      <w:r w:rsidR="007A0F6A">
        <w:rPr>
          <w:rFonts w:asciiTheme="majorHAnsi" w:hAnsiTheme="majorHAnsi"/>
          <w:sz w:val="24"/>
          <w:szCs w:val="24"/>
        </w:rPr>
        <w:t xml:space="preserve"> research question</w:t>
      </w:r>
      <w:r w:rsidR="00214E39" w:rsidRPr="00680D00">
        <w:rPr>
          <w:rFonts w:asciiTheme="majorHAnsi" w:hAnsiTheme="majorHAnsi"/>
          <w:sz w:val="24"/>
          <w:szCs w:val="24"/>
        </w:rPr>
        <w:t>.</w:t>
      </w:r>
      <w:r w:rsidR="002C2A4A" w:rsidRPr="00680D00">
        <w:rPr>
          <w:rFonts w:asciiTheme="majorHAnsi" w:hAnsiTheme="majorHAnsi"/>
          <w:sz w:val="24"/>
          <w:szCs w:val="24"/>
        </w:rPr>
        <w:t xml:space="preserve"> </w:t>
      </w:r>
      <w:r w:rsidR="00F05695">
        <w:rPr>
          <w:rFonts w:asciiTheme="majorHAnsi" w:hAnsiTheme="majorHAnsi"/>
          <w:sz w:val="24"/>
          <w:szCs w:val="24"/>
        </w:rPr>
        <w:t>The outcome</w:t>
      </w:r>
      <w:r w:rsidR="000A6C67">
        <w:rPr>
          <w:rFonts w:asciiTheme="majorHAnsi" w:hAnsiTheme="majorHAnsi"/>
          <w:sz w:val="24"/>
          <w:szCs w:val="24"/>
        </w:rPr>
        <w:t xml:space="preserve"> </w:t>
      </w:r>
      <w:r w:rsidR="00F05695">
        <w:rPr>
          <w:rFonts w:asciiTheme="majorHAnsi" w:hAnsiTheme="majorHAnsi"/>
          <w:sz w:val="24"/>
          <w:szCs w:val="24"/>
        </w:rPr>
        <w:t>“</w:t>
      </w:r>
      <w:r w:rsidR="000A6C67">
        <w:rPr>
          <w:rFonts w:asciiTheme="majorHAnsi" w:hAnsiTheme="majorHAnsi"/>
          <w:sz w:val="24"/>
          <w:szCs w:val="24"/>
        </w:rPr>
        <w:t>death</w:t>
      </w:r>
      <w:r w:rsidR="00F05695">
        <w:rPr>
          <w:rFonts w:asciiTheme="majorHAnsi" w:hAnsiTheme="majorHAnsi"/>
          <w:sz w:val="24"/>
          <w:szCs w:val="24"/>
        </w:rPr>
        <w:t>” was described as</w:t>
      </w:r>
      <w:r w:rsidR="000A6C67">
        <w:rPr>
          <w:rFonts w:asciiTheme="majorHAnsi" w:hAnsiTheme="majorHAnsi"/>
          <w:sz w:val="24"/>
          <w:szCs w:val="24"/>
        </w:rPr>
        <w:t xml:space="preserve"> </w:t>
      </w:r>
      <w:r w:rsidR="00F05695">
        <w:rPr>
          <w:rFonts w:asciiTheme="majorHAnsi" w:hAnsiTheme="majorHAnsi"/>
          <w:sz w:val="24"/>
          <w:szCs w:val="24"/>
        </w:rPr>
        <w:t xml:space="preserve">count </w:t>
      </w:r>
      <w:r w:rsidR="000A6C67">
        <w:rPr>
          <w:rFonts w:asciiTheme="majorHAnsi" w:hAnsiTheme="majorHAnsi"/>
          <w:sz w:val="24"/>
          <w:szCs w:val="24"/>
        </w:rPr>
        <w:t>within each category an</w:t>
      </w:r>
      <w:r w:rsidR="00C1322F">
        <w:rPr>
          <w:rFonts w:asciiTheme="majorHAnsi" w:hAnsiTheme="majorHAnsi"/>
          <w:sz w:val="24"/>
          <w:szCs w:val="24"/>
        </w:rPr>
        <w:t xml:space="preserve">d total </w:t>
      </w:r>
      <w:r w:rsidR="000A6C67">
        <w:rPr>
          <w:rFonts w:asciiTheme="majorHAnsi" w:hAnsiTheme="majorHAnsi"/>
          <w:sz w:val="24"/>
          <w:szCs w:val="24"/>
        </w:rPr>
        <w:t xml:space="preserve">serum bilirubin </w:t>
      </w:r>
      <w:r w:rsidR="00C1322F">
        <w:rPr>
          <w:rFonts w:asciiTheme="majorHAnsi" w:hAnsiTheme="majorHAnsi"/>
          <w:sz w:val="24"/>
          <w:szCs w:val="24"/>
        </w:rPr>
        <w:t xml:space="preserve">levels. </w:t>
      </w:r>
      <w:r w:rsidR="002C2A4A" w:rsidRPr="00680D00">
        <w:rPr>
          <w:rFonts w:asciiTheme="majorHAnsi" w:hAnsiTheme="majorHAnsi"/>
          <w:sz w:val="24"/>
          <w:szCs w:val="24"/>
        </w:rPr>
        <w:t xml:space="preserve">Kaplan-Meier estimates </w:t>
      </w:r>
      <w:r w:rsidR="000A6C67">
        <w:rPr>
          <w:rFonts w:asciiTheme="majorHAnsi" w:hAnsiTheme="majorHAnsi"/>
          <w:sz w:val="24"/>
          <w:szCs w:val="24"/>
        </w:rPr>
        <w:t xml:space="preserve">were </w:t>
      </w:r>
      <w:r w:rsidR="00C1322F">
        <w:rPr>
          <w:rFonts w:asciiTheme="majorHAnsi" w:hAnsiTheme="majorHAnsi"/>
          <w:sz w:val="24"/>
          <w:szCs w:val="24"/>
        </w:rPr>
        <w:t xml:space="preserve">used </w:t>
      </w:r>
      <w:r w:rsidR="000A6C67">
        <w:rPr>
          <w:rFonts w:asciiTheme="majorHAnsi" w:hAnsiTheme="majorHAnsi"/>
          <w:sz w:val="24"/>
          <w:szCs w:val="24"/>
        </w:rPr>
        <w:t xml:space="preserve">to describe </w:t>
      </w:r>
      <w:r w:rsidR="00F05695">
        <w:rPr>
          <w:rFonts w:asciiTheme="majorHAnsi" w:hAnsiTheme="majorHAnsi"/>
          <w:sz w:val="24"/>
          <w:szCs w:val="24"/>
        </w:rPr>
        <w:t xml:space="preserve">the time to </w:t>
      </w:r>
      <w:r w:rsidR="000A6C67">
        <w:rPr>
          <w:rFonts w:asciiTheme="majorHAnsi" w:hAnsiTheme="majorHAnsi"/>
          <w:sz w:val="24"/>
          <w:szCs w:val="24"/>
        </w:rPr>
        <w:t>censoring</w:t>
      </w:r>
      <w:r w:rsidR="00F05695">
        <w:rPr>
          <w:rFonts w:asciiTheme="majorHAnsi" w:hAnsiTheme="majorHAnsi"/>
          <w:sz w:val="24"/>
          <w:szCs w:val="24"/>
        </w:rPr>
        <w:t xml:space="preserve"> and time to death</w:t>
      </w:r>
      <w:r w:rsidR="000A6C67">
        <w:rPr>
          <w:rFonts w:asciiTheme="majorHAnsi" w:hAnsiTheme="majorHAnsi"/>
          <w:sz w:val="24"/>
          <w:szCs w:val="24"/>
        </w:rPr>
        <w:t xml:space="preserve"> distribution</w:t>
      </w:r>
      <w:r w:rsidR="00C1322F">
        <w:rPr>
          <w:rFonts w:asciiTheme="majorHAnsi" w:hAnsiTheme="majorHAnsi"/>
          <w:sz w:val="24"/>
          <w:szCs w:val="24"/>
        </w:rPr>
        <w:t>, 25</w:t>
      </w:r>
      <w:r w:rsidR="00C1322F" w:rsidRPr="00C1322F">
        <w:rPr>
          <w:rFonts w:asciiTheme="majorHAnsi" w:hAnsiTheme="majorHAnsi"/>
          <w:sz w:val="24"/>
          <w:szCs w:val="24"/>
          <w:vertAlign w:val="superscript"/>
        </w:rPr>
        <w:t>th</w:t>
      </w:r>
      <w:r w:rsidR="00C1322F">
        <w:rPr>
          <w:rFonts w:asciiTheme="majorHAnsi" w:hAnsiTheme="majorHAnsi"/>
          <w:sz w:val="24"/>
          <w:szCs w:val="24"/>
        </w:rPr>
        <w:t>, 50</w:t>
      </w:r>
      <w:r w:rsidR="00C1322F" w:rsidRPr="00C1322F">
        <w:rPr>
          <w:rFonts w:asciiTheme="majorHAnsi" w:hAnsiTheme="majorHAnsi"/>
          <w:sz w:val="24"/>
          <w:szCs w:val="24"/>
          <w:vertAlign w:val="superscript"/>
        </w:rPr>
        <w:t>th</w:t>
      </w:r>
      <w:r w:rsidR="00C1322F">
        <w:rPr>
          <w:rFonts w:asciiTheme="majorHAnsi" w:hAnsiTheme="majorHAnsi"/>
          <w:sz w:val="24"/>
          <w:szCs w:val="24"/>
        </w:rPr>
        <w:t xml:space="preserve"> and 75</w:t>
      </w:r>
      <w:r w:rsidR="00C1322F" w:rsidRPr="00C1322F">
        <w:rPr>
          <w:rFonts w:asciiTheme="majorHAnsi" w:hAnsiTheme="majorHAnsi"/>
          <w:sz w:val="24"/>
          <w:szCs w:val="24"/>
          <w:vertAlign w:val="superscript"/>
        </w:rPr>
        <w:t>th</w:t>
      </w:r>
      <w:r w:rsidR="00C1322F">
        <w:rPr>
          <w:rFonts w:asciiTheme="majorHAnsi" w:hAnsiTheme="majorHAnsi"/>
          <w:sz w:val="24"/>
          <w:szCs w:val="24"/>
        </w:rPr>
        <w:t xml:space="preserve"> percentiles </w:t>
      </w:r>
      <w:r w:rsidRPr="00680D00">
        <w:rPr>
          <w:rFonts w:asciiTheme="majorHAnsi" w:hAnsiTheme="majorHAnsi"/>
          <w:sz w:val="24"/>
          <w:szCs w:val="24"/>
        </w:rPr>
        <w:t xml:space="preserve">of </w:t>
      </w:r>
      <w:r w:rsidR="002C2A4A" w:rsidRPr="00680D00">
        <w:rPr>
          <w:rFonts w:asciiTheme="majorHAnsi" w:hAnsiTheme="majorHAnsi"/>
          <w:sz w:val="24"/>
          <w:szCs w:val="24"/>
        </w:rPr>
        <w:t xml:space="preserve">survival </w:t>
      </w:r>
      <w:r w:rsidR="000D09B4" w:rsidRPr="00680D00">
        <w:rPr>
          <w:rFonts w:asciiTheme="majorHAnsi" w:hAnsiTheme="majorHAnsi"/>
          <w:sz w:val="24"/>
          <w:szCs w:val="24"/>
        </w:rPr>
        <w:t xml:space="preserve">distribution </w:t>
      </w:r>
      <w:r w:rsidR="0001345D">
        <w:rPr>
          <w:rFonts w:asciiTheme="majorHAnsi" w:hAnsiTheme="majorHAnsi"/>
          <w:sz w:val="24"/>
          <w:szCs w:val="24"/>
        </w:rPr>
        <w:t xml:space="preserve">for both time to </w:t>
      </w:r>
      <w:r w:rsidR="00F05695">
        <w:rPr>
          <w:rFonts w:asciiTheme="majorHAnsi" w:hAnsiTheme="majorHAnsi"/>
          <w:sz w:val="24"/>
          <w:szCs w:val="24"/>
        </w:rPr>
        <w:t>death and censoring</w:t>
      </w:r>
      <w:r w:rsidR="0001345D">
        <w:rPr>
          <w:rFonts w:asciiTheme="majorHAnsi" w:hAnsiTheme="majorHAnsi"/>
          <w:sz w:val="24"/>
          <w:szCs w:val="24"/>
        </w:rPr>
        <w:t xml:space="preserve"> was reported </w:t>
      </w:r>
      <w:r w:rsidR="002C2A4A" w:rsidRPr="00680D00">
        <w:rPr>
          <w:rFonts w:asciiTheme="majorHAnsi" w:hAnsiTheme="majorHAnsi"/>
          <w:sz w:val="24"/>
          <w:szCs w:val="24"/>
        </w:rPr>
        <w:t xml:space="preserve">and survival probabilities </w:t>
      </w:r>
      <w:r w:rsidR="0001345D">
        <w:rPr>
          <w:rFonts w:asciiTheme="majorHAnsi" w:hAnsiTheme="majorHAnsi"/>
          <w:sz w:val="24"/>
          <w:szCs w:val="24"/>
        </w:rPr>
        <w:t xml:space="preserve">from enrolment to death at </w:t>
      </w:r>
      <w:r w:rsidR="000D09B4" w:rsidRPr="00680D00">
        <w:rPr>
          <w:rFonts w:asciiTheme="majorHAnsi" w:hAnsiTheme="majorHAnsi"/>
          <w:sz w:val="24"/>
          <w:szCs w:val="24"/>
        </w:rPr>
        <w:t xml:space="preserve">2, 4, 6, 8 and 12 years </w:t>
      </w:r>
      <w:r w:rsidR="00C1322F">
        <w:rPr>
          <w:rFonts w:asciiTheme="majorHAnsi" w:hAnsiTheme="majorHAnsi"/>
          <w:sz w:val="24"/>
          <w:szCs w:val="24"/>
        </w:rPr>
        <w:t>were</w:t>
      </w:r>
      <w:r w:rsidR="0001345D">
        <w:rPr>
          <w:rFonts w:asciiTheme="majorHAnsi" w:hAnsiTheme="majorHAnsi"/>
          <w:sz w:val="24"/>
          <w:szCs w:val="24"/>
        </w:rPr>
        <w:t xml:space="preserve"> reported</w:t>
      </w:r>
      <w:r w:rsidR="00C1322F">
        <w:rPr>
          <w:rFonts w:asciiTheme="majorHAnsi" w:hAnsiTheme="majorHAnsi"/>
          <w:sz w:val="24"/>
          <w:szCs w:val="24"/>
        </w:rPr>
        <w:t xml:space="preserve"> for </w:t>
      </w:r>
      <w:r w:rsidR="00F05695">
        <w:rPr>
          <w:rFonts w:asciiTheme="majorHAnsi" w:hAnsiTheme="majorHAnsi"/>
          <w:sz w:val="24"/>
          <w:szCs w:val="24"/>
        </w:rPr>
        <w:t xml:space="preserve">total and each category of </w:t>
      </w:r>
      <w:r w:rsidR="00C1322F">
        <w:rPr>
          <w:rFonts w:asciiTheme="majorHAnsi" w:hAnsiTheme="majorHAnsi"/>
          <w:sz w:val="24"/>
          <w:szCs w:val="24"/>
        </w:rPr>
        <w:t xml:space="preserve">baseline </w:t>
      </w:r>
      <w:r w:rsidR="002C2A4A" w:rsidRPr="00680D00">
        <w:rPr>
          <w:rFonts w:asciiTheme="majorHAnsi" w:hAnsiTheme="majorHAnsi"/>
          <w:sz w:val="24"/>
          <w:szCs w:val="24"/>
        </w:rPr>
        <w:t>serum bilirubin</w:t>
      </w:r>
      <w:r w:rsidR="00F05695">
        <w:rPr>
          <w:rFonts w:asciiTheme="majorHAnsi" w:hAnsiTheme="majorHAnsi"/>
          <w:sz w:val="24"/>
          <w:szCs w:val="24"/>
        </w:rPr>
        <w:t xml:space="preserve"> levels.</w:t>
      </w:r>
    </w:p>
    <w:p w14:paraId="15B87529" w14:textId="17DE1280" w:rsidR="004E2850" w:rsidRDefault="00442667" w:rsidP="004E2850">
      <w:pPr>
        <w:autoSpaceDE w:val="0"/>
        <w:autoSpaceDN w:val="0"/>
        <w:adjustRightInd w:val="0"/>
        <w:spacing w:after="120"/>
        <w:jc w:val="both"/>
        <w:rPr>
          <w:rFonts w:asciiTheme="majorHAnsi" w:hAnsiTheme="majorHAnsi"/>
          <w:sz w:val="24"/>
          <w:szCs w:val="24"/>
        </w:rPr>
      </w:pPr>
      <w:r w:rsidRPr="00680D00">
        <w:rPr>
          <w:rFonts w:asciiTheme="majorHAnsi" w:hAnsiTheme="majorHAnsi"/>
          <w:b/>
          <w:sz w:val="24"/>
          <w:szCs w:val="24"/>
          <w:u w:val="single"/>
        </w:rPr>
        <w:t>Inference:</w:t>
      </w:r>
      <w:r w:rsidR="000D09B4" w:rsidRPr="00680D00">
        <w:rPr>
          <w:rFonts w:asciiTheme="majorHAnsi" w:hAnsiTheme="majorHAnsi"/>
          <w:sz w:val="24"/>
          <w:szCs w:val="24"/>
        </w:rPr>
        <w:t xml:space="preserve"> A total of 418 study participants were followed</w:t>
      </w:r>
      <w:r w:rsidR="00F6647F" w:rsidRPr="00680D00">
        <w:rPr>
          <w:rFonts w:asciiTheme="majorHAnsi" w:hAnsiTheme="majorHAnsi"/>
          <w:sz w:val="24"/>
          <w:szCs w:val="24"/>
        </w:rPr>
        <w:t xml:space="preserve"> up</w:t>
      </w:r>
      <w:r w:rsidR="00AA58DB">
        <w:rPr>
          <w:rFonts w:asciiTheme="majorHAnsi" w:hAnsiTheme="majorHAnsi"/>
          <w:sz w:val="24"/>
          <w:szCs w:val="24"/>
        </w:rPr>
        <w:t xml:space="preserve"> with 106 and 108 missing cases for sex and treatment variables. The </w:t>
      </w:r>
      <w:r w:rsidR="00F05695">
        <w:rPr>
          <w:rFonts w:asciiTheme="majorHAnsi" w:hAnsiTheme="majorHAnsi"/>
          <w:sz w:val="24"/>
          <w:szCs w:val="24"/>
        </w:rPr>
        <w:t>mean number of</w:t>
      </w:r>
      <w:r w:rsidR="004E2850">
        <w:rPr>
          <w:rFonts w:asciiTheme="majorHAnsi" w:hAnsiTheme="majorHAnsi"/>
          <w:sz w:val="24"/>
          <w:szCs w:val="24"/>
        </w:rPr>
        <w:t xml:space="preserve"> years from enrollment to death was</w:t>
      </w:r>
      <w:r w:rsidR="00F05695">
        <w:rPr>
          <w:rFonts w:asciiTheme="majorHAnsi" w:hAnsiTheme="majorHAnsi"/>
          <w:sz w:val="24"/>
          <w:szCs w:val="24"/>
        </w:rPr>
        <w:t xml:space="preserve"> </w:t>
      </w:r>
      <w:r w:rsidR="00F05695" w:rsidRPr="00F05695">
        <w:rPr>
          <w:rFonts w:asciiTheme="majorHAnsi" w:hAnsiTheme="majorHAnsi"/>
          <w:sz w:val="24"/>
          <w:szCs w:val="24"/>
        </w:rPr>
        <w:t>8.3</w:t>
      </w:r>
      <w:r w:rsidR="004E2850">
        <w:rPr>
          <w:rFonts w:asciiTheme="majorHAnsi" w:hAnsiTheme="majorHAnsi"/>
          <w:sz w:val="24"/>
          <w:szCs w:val="24"/>
        </w:rPr>
        <w:t>5</w:t>
      </w:r>
      <w:r w:rsidR="00F05695">
        <w:rPr>
          <w:rStyle w:val="FootnoteReference"/>
          <w:rFonts w:asciiTheme="majorHAnsi" w:hAnsiTheme="majorHAnsi"/>
          <w:sz w:val="24"/>
          <w:szCs w:val="24"/>
        </w:rPr>
        <w:footnoteReference w:id="1"/>
      </w:r>
      <w:r w:rsidR="004E2850">
        <w:rPr>
          <w:rFonts w:asciiTheme="majorHAnsi" w:hAnsiTheme="majorHAnsi"/>
          <w:sz w:val="24"/>
          <w:szCs w:val="24"/>
        </w:rPr>
        <w:t xml:space="preserve"> years and a </w:t>
      </w:r>
      <w:r w:rsidR="00F05695">
        <w:rPr>
          <w:rFonts w:asciiTheme="majorHAnsi" w:hAnsiTheme="majorHAnsi"/>
          <w:sz w:val="24"/>
          <w:szCs w:val="24"/>
        </w:rPr>
        <w:t>median of</w:t>
      </w:r>
      <w:r w:rsidR="00F05695" w:rsidRPr="00F05695">
        <w:rPr>
          <w:rFonts w:asciiTheme="majorHAnsi" w:hAnsiTheme="majorHAnsi"/>
          <w:sz w:val="24"/>
          <w:szCs w:val="24"/>
        </w:rPr>
        <w:t xml:space="preserve"> </w:t>
      </w:r>
      <w:r w:rsidR="00F05695" w:rsidRPr="004E2850">
        <w:rPr>
          <w:rFonts w:asciiTheme="majorHAnsi" w:hAnsiTheme="majorHAnsi"/>
          <w:sz w:val="24"/>
          <w:szCs w:val="24"/>
        </w:rPr>
        <w:t xml:space="preserve">9.295 </w:t>
      </w:r>
      <w:r w:rsidR="004E2850">
        <w:rPr>
          <w:rFonts w:asciiTheme="majorHAnsi" w:hAnsiTheme="majorHAnsi"/>
          <w:sz w:val="24"/>
          <w:szCs w:val="24"/>
        </w:rPr>
        <w:t>(</w:t>
      </w:r>
      <w:r w:rsidR="00F05695" w:rsidRPr="004E2850">
        <w:rPr>
          <w:rFonts w:asciiTheme="majorHAnsi" w:hAnsiTheme="majorHAnsi"/>
          <w:sz w:val="24"/>
          <w:szCs w:val="24"/>
        </w:rPr>
        <w:t xml:space="preserve">0.112 </w:t>
      </w:r>
      <w:r w:rsidR="004E2850" w:rsidRPr="004E2850">
        <w:rPr>
          <w:rFonts w:asciiTheme="majorHAnsi" w:hAnsiTheme="majorHAnsi"/>
          <w:sz w:val="24"/>
          <w:szCs w:val="24"/>
        </w:rPr>
        <w:t xml:space="preserve">to </w:t>
      </w:r>
      <w:r w:rsidR="00F05695" w:rsidRPr="004E2850">
        <w:rPr>
          <w:rFonts w:asciiTheme="majorHAnsi" w:hAnsiTheme="majorHAnsi"/>
          <w:sz w:val="24"/>
          <w:szCs w:val="24"/>
        </w:rPr>
        <w:t>11.474</w:t>
      </w:r>
      <w:r w:rsidR="004E2850" w:rsidRPr="004E2850">
        <w:rPr>
          <w:rFonts w:asciiTheme="majorHAnsi" w:hAnsiTheme="majorHAnsi"/>
          <w:sz w:val="24"/>
          <w:szCs w:val="24"/>
        </w:rPr>
        <w:t xml:space="preserve"> years</w:t>
      </w:r>
      <w:r w:rsidR="004E2850">
        <w:rPr>
          <w:rFonts w:asciiTheme="majorHAnsi" w:hAnsiTheme="majorHAnsi"/>
          <w:sz w:val="24"/>
          <w:szCs w:val="24"/>
        </w:rPr>
        <w:t>)</w:t>
      </w:r>
      <w:r w:rsidR="004E2850" w:rsidRPr="004E2850">
        <w:rPr>
          <w:rFonts w:asciiTheme="majorHAnsi" w:hAnsiTheme="majorHAnsi"/>
          <w:sz w:val="24"/>
          <w:szCs w:val="24"/>
        </w:rPr>
        <w:t xml:space="preserve">. A </w:t>
      </w:r>
      <w:r w:rsidR="00F6647F" w:rsidRPr="00680D00">
        <w:rPr>
          <w:rFonts w:asciiTheme="majorHAnsi" w:hAnsiTheme="majorHAnsi"/>
          <w:sz w:val="24"/>
          <w:szCs w:val="24"/>
        </w:rPr>
        <w:t xml:space="preserve">total </w:t>
      </w:r>
      <w:r w:rsidR="004E2850">
        <w:rPr>
          <w:rFonts w:asciiTheme="majorHAnsi" w:hAnsiTheme="majorHAnsi"/>
          <w:sz w:val="24"/>
          <w:szCs w:val="24"/>
        </w:rPr>
        <w:t>of 161 deaths occurred during this period of follow up. In contrast, the time from enrolment to censoring was</w:t>
      </w:r>
      <w:r w:rsidR="00AE6D68">
        <w:rPr>
          <w:rFonts w:asciiTheme="majorHAnsi" w:hAnsiTheme="majorHAnsi"/>
          <w:sz w:val="24"/>
          <w:szCs w:val="24"/>
        </w:rPr>
        <w:t xml:space="preserve"> lower; </w:t>
      </w:r>
      <w:r w:rsidR="00AA58DB">
        <w:rPr>
          <w:rFonts w:asciiTheme="majorHAnsi" w:hAnsiTheme="majorHAnsi"/>
          <w:sz w:val="24"/>
          <w:szCs w:val="24"/>
        </w:rPr>
        <w:t xml:space="preserve">a mean of </w:t>
      </w:r>
      <w:r w:rsidR="00AE6D68">
        <w:rPr>
          <w:rFonts w:asciiTheme="majorHAnsi" w:hAnsiTheme="majorHAnsi"/>
          <w:sz w:val="24"/>
          <w:szCs w:val="24"/>
        </w:rPr>
        <w:t>6.879</w:t>
      </w:r>
      <w:r w:rsidR="004E2850">
        <w:rPr>
          <w:rFonts w:asciiTheme="majorHAnsi" w:hAnsiTheme="majorHAnsi"/>
          <w:sz w:val="24"/>
          <w:szCs w:val="24"/>
        </w:rPr>
        <w:t xml:space="preserve"> years and a median of </w:t>
      </w:r>
      <w:r w:rsidR="004E2850" w:rsidRPr="004E2850">
        <w:rPr>
          <w:rFonts w:asciiTheme="majorHAnsi" w:hAnsiTheme="majorHAnsi"/>
          <w:sz w:val="24"/>
          <w:szCs w:val="24"/>
        </w:rPr>
        <w:t xml:space="preserve">6.475 </w:t>
      </w:r>
      <w:r w:rsidR="004E2850">
        <w:rPr>
          <w:rFonts w:asciiTheme="majorHAnsi" w:hAnsiTheme="majorHAnsi"/>
          <w:sz w:val="24"/>
          <w:szCs w:val="24"/>
        </w:rPr>
        <w:t>(1.459 to 13.128</w:t>
      </w:r>
      <w:r w:rsidR="004E2850" w:rsidRPr="004E2850">
        <w:rPr>
          <w:rFonts w:asciiTheme="majorHAnsi" w:hAnsiTheme="majorHAnsi"/>
          <w:sz w:val="24"/>
          <w:szCs w:val="24"/>
        </w:rPr>
        <w:t>)</w:t>
      </w:r>
      <w:r w:rsidR="00AE6D68">
        <w:rPr>
          <w:rFonts w:asciiTheme="majorHAnsi" w:hAnsiTheme="majorHAnsi"/>
          <w:sz w:val="24"/>
          <w:szCs w:val="24"/>
        </w:rPr>
        <w:t xml:space="preserve"> –see Figure 2</w:t>
      </w:r>
      <w:r w:rsidR="004E2850" w:rsidRPr="004E2850">
        <w:rPr>
          <w:rFonts w:asciiTheme="majorHAnsi" w:hAnsiTheme="majorHAnsi"/>
          <w:sz w:val="24"/>
          <w:szCs w:val="24"/>
        </w:rPr>
        <w:t>.</w:t>
      </w:r>
      <w:r w:rsidR="004E2850">
        <w:rPr>
          <w:rFonts w:asciiTheme="majorHAnsi" w:hAnsiTheme="majorHAnsi"/>
        </w:rPr>
        <w:t xml:space="preserve"> </w:t>
      </w:r>
      <w:r w:rsidR="00C824AE" w:rsidRPr="00C824AE">
        <w:rPr>
          <w:rFonts w:asciiTheme="majorHAnsi" w:hAnsiTheme="majorHAnsi"/>
          <w:sz w:val="24"/>
          <w:szCs w:val="24"/>
        </w:rPr>
        <w:t>There is a decreasing trend in survival probability as the levels of baseline serum bilirubin increase and the trend is more dramatic as the number of years increase from 2 to 12 years.</w:t>
      </w:r>
      <w:r w:rsidR="00AE6D68">
        <w:rPr>
          <w:rFonts w:asciiTheme="majorHAnsi" w:hAnsiTheme="majorHAnsi"/>
          <w:sz w:val="24"/>
          <w:szCs w:val="24"/>
        </w:rPr>
        <w:t xml:space="preserve"> This is seen more clearly in</w:t>
      </w:r>
      <w:r w:rsidR="009E0324">
        <w:rPr>
          <w:rFonts w:asciiTheme="majorHAnsi" w:hAnsiTheme="majorHAnsi"/>
          <w:sz w:val="24"/>
          <w:szCs w:val="24"/>
        </w:rPr>
        <w:t xml:space="preserve"> Figure 1 that shows categories</w:t>
      </w:r>
      <w:r w:rsidR="00C824AE" w:rsidRPr="00C824AE">
        <w:rPr>
          <w:rFonts w:asciiTheme="majorHAnsi" w:hAnsiTheme="majorHAnsi"/>
          <w:sz w:val="24"/>
          <w:szCs w:val="24"/>
        </w:rPr>
        <w:t xml:space="preserve"> </w:t>
      </w:r>
      <w:r w:rsidR="00AE6D68">
        <w:rPr>
          <w:rFonts w:asciiTheme="majorHAnsi" w:hAnsiTheme="majorHAnsi"/>
          <w:sz w:val="24"/>
          <w:szCs w:val="24"/>
        </w:rPr>
        <w:t>&gt;9mg/</w:t>
      </w:r>
      <w:proofErr w:type="spellStart"/>
      <w:r w:rsidR="00AE6D68">
        <w:rPr>
          <w:rFonts w:asciiTheme="majorHAnsi" w:hAnsiTheme="majorHAnsi"/>
          <w:sz w:val="24"/>
          <w:szCs w:val="24"/>
        </w:rPr>
        <w:t>dL</w:t>
      </w:r>
      <w:proofErr w:type="spellEnd"/>
      <w:r w:rsidR="00C824AE" w:rsidRPr="00C824AE">
        <w:rPr>
          <w:rFonts w:asciiTheme="majorHAnsi" w:hAnsiTheme="majorHAnsi"/>
          <w:sz w:val="24"/>
          <w:szCs w:val="24"/>
        </w:rPr>
        <w:t xml:space="preserve"> </w:t>
      </w:r>
      <w:r w:rsidR="00AE6D68">
        <w:rPr>
          <w:rFonts w:asciiTheme="majorHAnsi" w:hAnsiTheme="majorHAnsi"/>
          <w:sz w:val="24"/>
          <w:szCs w:val="24"/>
        </w:rPr>
        <w:t xml:space="preserve">having the least survival </w:t>
      </w:r>
      <w:r w:rsidR="00AA58DB">
        <w:rPr>
          <w:rFonts w:asciiTheme="majorHAnsi" w:hAnsiTheme="majorHAnsi"/>
          <w:sz w:val="24"/>
          <w:szCs w:val="24"/>
        </w:rPr>
        <w:t xml:space="preserve">probability </w:t>
      </w:r>
      <w:r w:rsidR="00AE6D68">
        <w:rPr>
          <w:rFonts w:asciiTheme="majorHAnsi" w:hAnsiTheme="majorHAnsi"/>
          <w:sz w:val="24"/>
          <w:szCs w:val="24"/>
        </w:rPr>
        <w:t>estimates, followed by categories 2 – 8mg/</w:t>
      </w:r>
      <w:proofErr w:type="spellStart"/>
      <w:r w:rsidR="00AE6D68">
        <w:rPr>
          <w:rFonts w:asciiTheme="majorHAnsi" w:hAnsiTheme="majorHAnsi"/>
          <w:sz w:val="24"/>
          <w:szCs w:val="24"/>
        </w:rPr>
        <w:t>dL</w:t>
      </w:r>
      <w:proofErr w:type="spellEnd"/>
      <w:r w:rsidR="00AE6D68">
        <w:rPr>
          <w:rFonts w:asciiTheme="majorHAnsi" w:hAnsiTheme="majorHAnsi"/>
          <w:sz w:val="24"/>
          <w:szCs w:val="24"/>
        </w:rPr>
        <w:t xml:space="preserve"> and then categories &lt;1mg/</w:t>
      </w:r>
      <w:proofErr w:type="spellStart"/>
      <w:r w:rsidR="00AE6D68">
        <w:rPr>
          <w:rFonts w:asciiTheme="majorHAnsi" w:hAnsiTheme="majorHAnsi"/>
          <w:sz w:val="24"/>
          <w:szCs w:val="24"/>
        </w:rPr>
        <w:t>dL</w:t>
      </w:r>
      <w:proofErr w:type="spellEnd"/>
      <w:r w:rsidR="00AE6D68">
        <w:rPr>
          <w:rFonts w:asciiTheme="majorHAnsi" w:hAnsiTheme="majorHAnsi"/>
          <w:sz w:val="24"/>
          <w:szCs w:val="24"/>
        </w:rPr>
        <w:t>.</w:t>
      </w:r>
    </w:p>
    <w:p w14:paraId="0D35328B" w14:textId="192FCEDF" w:rsidR="00442667" w:rsidRDefault="005E5BD2" w:rsidP="004E2850">
      <w:pPr>
        <w:autoSpaceDE w:val="0"/>
        <w:autoSpaceDN w:val="0"/>
        <w:adjustRightInd w:val="0"/>
        <w:spacing w:after="120"/>
        <w:jc w:val="both"/>
        <w:rPr>
          <w:rFonts w:asciiTheme="majorHAnsi" w:hAnsiTheme="majorHAnsi"/>
          <w:sz w:val="24"/>
          <w:szCs w:val="24"/>
        </w:rPr>
      </w:pPr>
      <w:r>
        <w:rPr>
          <w:rFonts w:asciiTheme="majorHAnsi" w:hAnsiTheme="majorHAnsi"/>
          <w:sz w:val="24"/>
          <w:szCs w:val="24"/>
        </w:rPr>
        <w:t>The mean b</w:t>
      </w:r>
      <w:r w:rsidR="00AA58DB">
        <w:rPr>
          <w:rFonts w:asciiTheme="majorHAnsi" w:hAnsiTheme="majorHAnsi"/>
          <w:sz w:val="24"/>
          <w:szCs w:val="24"/>
        </w:rPr>
        <w:t>aseline serum bilirubin level was</w:t>
      </w:r>
      <w:r>
        <w:rPr>
          <w:rFonts w:asciiTheme="majorHAnsi" w:hAnsiTheme="majorHAnsi"/>
          <w:sz w:val="24"/>
          <w:szCs w:val="24"/>
        </w:rPr>
        <w:t xml:space="preserve"> </w:t>
      </w:r>
      <w:r w:rsidRPr="005E5BD2">
        <w:rPr>
          <w:rFonts w:asciiTheme="majorHAnsi" w:hAnsiTheme="majorHAnsi"/>
          <w:sz w:val="24"/>
          <w:szCs w:val="24"/>
        </w:rPr>
        <w:t>3.22</w:t>
      </w:r>
      <w:r>
        <w:rPr>
          <w:rFonts w:asciiTheme="majorHAnsi" w:hAnsiTheme="majorHAnsi"/>
          <w:sz w:val="24"/>
          <w:szCs w:val="24"/>
        </w:rPr>
        <w:t>1 mg/</w:t>
      </w:r>
      <w:proofErr w:type="spellStart"/>
      <w:r>
        <w:rPr>
          <w:rFonts w:asciiTheme="majorHAnsi" w:hAnsiTheme="majorHAnsi"/>
          <w:sz w:val="24"/>
          <w:szCs w:val="24"/>
        </w:rPr>
        <w:t>dL</w:t>
      </w:r>
      <w:proofErr w:type="spellEnd"/>
      <w:r>
        <w:rPr>
          <w:rFonts w:asciiTheme="majorHAnsi" w:hAnsiTheme="majorHAnsi"/>
          <w:sz w:val="24"/>
          <w:szCs w:val="24"/>
        </w:rPr>
        <w:t xml:space="preserve"> with a standard deviation of </w:t>
      </w:r>
      <w:r w:rsidRPr="005E5BD2">
        <w:rPr>
          <w:rFonts w:asciiTheme="majorHAnsi" w:hAnsiTheme="majorHAnsi"/>
          <w:sz w:val="24"/>
          <w:szCs w:val="24"/>
        </w:rPr>
        <w:t>4.40</w:t>
      </w:r>
      <w:r>
        <w:rPr>
          <w:rFonts w:asciiTheme="majorHAnsi" w:hAnsiTheme="majorHAnsi"/>
          <w:sz w:val="24"/>
          <w:szCs w:val="24"/>
        </w:rPr>
        <w:t>8mg/</w:t>
      </w:r>
      <w:proofErr w:type="spellStart"/>
      <w:r>
        <w:rPr>
          <w:rFonts w:asciiTheme="majorHAnsi" w:hAnsiTheme="majorHAnsi"/>
          <w:sz w:val="24"/>
          <w:szCs w:val="24"/>
        </w:rPr>
        <w:t>dL</w:t>
      </w:r>
      <w:proofErr w:type="spellEnd"/>
      <w:r>
        <w:rPr>
          <w:rFonts w:asciiTheme="majorHAnsi" w:hAnsiTheme="majorHAnsi"/>
          <w:sz w:val="24"/>
          <w:szCs w:val="24"/>
        </w:rPr>
        <w:t xml:space="preserve"> indicating a right skewed distribution. The minimum serum bilirubin levels ranged from 0.3 to </w:t>
      </w:r>
      <w:r w:rsidRPr="005E5BD2">
        <w:rPr>
          <w:rFonts w:asciiTheme="majorHAnsi" w:hAnsiTheme="majorHAnsi"/>
          <w:sz w:val="24"/>
          <w:szCs w:val="24"/>
        </w:rPr>
        <w:t>28</w:t>
      </w:r>
      <w:r>
        <w:rPr>
          <w:rFonts w:asciiTheme="majorHAnsi" w:hAnsiTheme="majorHAnsi"/>
          <w:sz w:val="24"/>
          <w:szCs w:val="24"/>
        </w:rPr>
        <w:t xml:space="preserve"> mg/</w:t>
      </w:r>
      <w:proofErr w:type="spellStart"/>
      <w:r>
        <w:rPr>
          <w:rFonts w:asciiTheme="majorHAnsi" w:hAnsiTheme="majorHAnsi"/>
          <w:sz w:val="24"/>
          <w:szCs w:val="24"/>
        </w:rPr>
        <w:t>dL</w:t>
      </w:r>
      <w:proofErr w:type="spellEnd"/>
      <w:r>
        <w:rPr>
          <w:rFonts w:asciiTheme="majorHAnsi" w:hAnsiTheme="majorHAnsi"/>
          <w:sz w:val="24"/>
          <w:szCs w:val="24"/>
        </w:rPr>
        <w:t>.</w:t>
      </w:r>
      <w:r w:rsidR="00AA58DB">
        <w:rPr>
          <w:rFonts w:asciiTheme="majorHAnsi" w:hAnsiTheme="majorHAnsi"/>
          <w:sz w:val="24"/>
          <w:szCs w:val="24"/>
        </w:rPr>
        <w:t xml:space="preserve"> </w:t>
      </w:r>
      <w:r w:rsidR="009E0324">
        <w:rPr>
          <w:rFonts w:asciiTheme="majorHAnsi" w:hAnsiTheme="majorHAnsi"/>
          <w:sz w:val="24"/>
          <w:szCs w:val="24"/>
        </w:rPr>
        <w:t>The s</w:t>
      </w:r>
      <w:r w:rsidR="00AA58DB">
        <w:rPr>
          <w:rFonts w:asciiTheme="majorHAnsi" w:hAnsiTheme="majorHAnsi"/>
          <w:sz w:val="24"/>
          <w:szCs w:val="24"/>
        </w:rPr>
        <w:t xml:space="preserve">tudy participants had a mean age of </w:t>
      </w:r>
      <w:r w:rsidR="00AA58DB" w:rsidRPr="00AA58DB">
        <w:rPr>
          <w:rFonts w:asciiTheme="majorHAnsi" w:hAnsiTheme="majorHAnsi"/>
          <w:sz w:val="24"/>
          <w:szCs w:val="24"/>
        </w:rPr>
        <w:t>50.74</w:t>
      </w:r>
      <w:r w:rsidR="00AA58DB">
        <w:rPr>
          <w:rFonts w:asciiTheme="majorHAnsi" w:hAnsiTheme="majorHAnsi"/>
          <w:sz w:val="24"/>
          <w:szCs w:val="24"/>
        </w:rPr>
        <w:t xml:space="preserve"> years (SD 10.45; </w:t>
      </w:r>
      <w:r w:rsidR="00AA58DB" w:rsidRPr="00AA58DB">
        <w:rPr>
          <w:rFonts w:asciiTheme="majorHAnsi" w:hAnsiTheme="majorHAnsi"/>
          <w:sz w:val="24"/>
          <w:szCs w:val="24"/>
        </w:rPr>
        <w:t>26.2</w:t>
      </w:r>
      <w:r w:rsidR="00AA58DB">
        <w:rPr>
          <w:rFonts w:asciiTheme="majorHAnsi" w:hAnsiTheme="majorHAnsi"/>
          <w:sz w:val="24"/>
          <w:szCs w:val="24"/>
        </w:rPr>
        <w:t>8 – 78.44)</w:t>
      </w:r>
      <w:r w:rsidR="009E0324">
        <w:rPr>
          <w:rFonts w:asciiTheme="majorHAnsi" w:hAnsiTheme="majorHAnsi"/>
          <w:sz w:val="24"/>
          <w:szCs w:val="24"/>
        </w:rPr>
        <w:t xml:space="preserve"> and were mostly females (88.46%)</w:t>
      </w:r>
      <w:r w:rsidR="00AA58DB">
        <w:rPr>
          <w:rFonts w:asciiTheme="majorHAnsi" w:hAnsiTheme="majorHAnsi"/>
          <w:sz w:val="24"/>
          <w:szCs w:val="24"/>
        </w:rPr>
        <w:t>.</w:t>
      </w:r>
      <w:r w:rsidR="00AA58DB" w:rsidRPr="00AA58DB">
        <w:rPr>
          <w:rFonts w:asciiTheme="majorHAnsi" w:hAnsiTheme="majorHAnsi"/>
          <w:sz w:val="24"/>
          <w:szCs w:val="24"/>
        </w:rPr>
        <w:t xml:space="preserve"> </w:t>
      </w:r>
      <w:r w:rsidR="00F6647F" w:rsidRPr="00680D00">
        <w:rPr>
          <w:rFonts w:asciiTheme="majorHAnsi" w:hAnsiTheme="majorHAnsi"/>
          <w:sz w:val="24"/>
          <w:szCs w:val="24"/>
        </w:rPr>
        <w:t xml:space="preserve">The mean age within each bilirubin category was similar in general with less </w:t>
      </w:r>
      <w:r w:rsidR="009E0324">
        <w:rPr>
          <w:rFonts w:asciiTheme="majorHAnsi" w:hAnsiTheme="majorHAnsi"/>
          <w:sz w:val="24"/>
          <w:szCs w:val="24"/>
        </w:rPr>
        <w:t xml:space="preserve">age </w:t>
      </w:r>
      <w:r w:rsidR="00F6647F" w:rsidRPr="00680D00">
        <w:rPr>
          <w:rFonts w:asciiTheme="majorHAnsi" w:hAnsiTheme="majorHAnsi"/>
          <w:sz w:val="24"/>
          <w:szCs w:val="24"/>
        </w:rPr>
        <w:t>variability within the lowest (0mg/</w:t>
      </w:r>
      <w:proofErr w:type="spellStart"/>
      <w:r w:rsidR="00F6647F" w:rsidRPr="00680D00">
        <w:rPr>
          <w:rFonts w:asciiTheme="majorHAnsi" w:hAnsiTheme="majorHAnsi"/>
          <w:sz w:val="24"/>
          <w:szCs w:val="24"/>
        </w:rPr>
        <w:t>dL</w:t>
      </w:r>
      <w:proofErr w:type="spellEnd"/>
      <w:r w:rsidR="00F6647F" w:rsidRPr="00680D00">
        <w:rPr>
          <w:rFonts w:asciiTheme="majorHAnsi" w:hAnsiTheme="majorHAnsi"/>
          <w:sz w:val="24"/>
          <w:szCs w:val="24"/>
        </w:rPr>
        <w:t>) and higher bilirubin categories (&gt;9mg/</w:t>
      </w:r>
      <w:proofErr w:type="spellStart"/>
      <w:r w:rsidR="00F6647F" w:rsidRPr="00680D00">
        <w:rPr>
          <w:rFonts w:asciiTheme="majorHAnsi" w:hAnsiTheme="majorHAnsi"/>
          <w:sz w:val="24"/>
          <w:szCs w:val="24"/>
        </w:rPr>
        <w:t>dL</w:t>
      </w:r>
      <w:proofErr w:type="spellEnd"/>
      <w:r w:rsidR="00F6647F" w:rsidRPr="00680D00">
        <w:rPr>
          <w:rFonts w:asciiTheme="majorHAnsi" w:hAnsiTheme="majorHAnsi"/>
          <w:sz w:val="24"/>
          <w:szCs w:val="24"/>
        </w:rPr>
        <w:t xml:space="preserve">). </w:t>
      </w:r>
      <w:r w:rsidR="001647FB">
        <w:rPr>
          <w:rFonts w:asciiTheme="majorHAnsi" w:hAnsiTheme="majorHAnsi"/>
          <w:sz w:val="24"/>
          <w:szCs w:val="24"/>
        </w:rPr>
        <w:t>Female sex</w:t>
      </w:r>
      <w:r w:rsidR="00C824AE">
        <w:rPr>
          <w:rFonts w:asciiTheme="majorHAnsi" w:hAnsiTheme="majorHAnsi"/>
          <w:sz w:val="24"/>
          <w:szCs w:val="24"/>
        </w:rPr>
        <w:t xml:space="preserve"> </w:t>
      </w:r>
      <w:r w:rsidR="009E0324">
        <w:rPr>
          <w:rFonts w:asciiTheme="majorHAnsi" w:hAnsiTheme="majorHAnsi"/>
          <w:sz w:val="24"/>
          <w:szCs w:val="24"/>
        </w:rPr>
        <w:t xml:space="preserve">distribution </w:t>
      </w:r>
      <w:r w:rsidR="00F6647F" w:rsidRPr="00680D00">
        <w:rPr>
          <w:rFonts w:asciiTheme="majorHAnsi" w:hAnsiTheme="majorHAnsi"/>
          <w:sz w:val="24"/>
          <w:szCs w:val="24"/>
        </w:rPr>
        <w:t>within categories was higher</w:t>
      </w:r>
      <w:r w:rsidR="009E0324">
        <w:rPr>
          <w:rFonts w:asciiTheme="majorHAnsi" w:hAnsiTheme="majorHAnsi"/>
          <w:sz w:val="24"/>
          <w:szCs w:val="24"/>
        </w:rPr>
        <w:t xml:space="preserve"> ranging from 93.27% to 100%</w:t>
      </w:r>
      <w:r w:rsidR="00F6647F" w:rsidRPr="00680D00">
        <w:rPr>
          <w:rFonts w:asciiTheme="majorHAnsi" w:hAnsiTheme="majorHAnsi"/>
          <w:sz w:val="24"/>
          <w:szCs w:val="24"/>
        </w:rPr>
        <w:t xml:space="preserve"> within the lowest (0mg/</w:t>
      </w:r>
      <w:proofErr w:type="spellStart"/>
      <w:r w:rsidR="00F6647F" w:rsidRPr="00680D00">
        <w:rPr>
          <w:rFonts w:asciiTheme="majorHAnsi" w:hAnsiTheme="majorHAnsi"/>
          <w:sz w:val="24"/>
          <w:szCs w:val="24"/>
        </w:rPr>
        <w:t>dL</w:t>
      </w:r>
      <w:proofErr w:type="spellEnd"/>
      <w:r w:rsidR="00F6647F" w:rsidRPr="00680D00">
        <w:rPr>
          <w:rFonts w:asciiTheme="majorHAnsi" w:hAnsiTheme="majorHAnsi"/>
          <w:sz w:val="24"/>
          <w:szCs w:val="24"/>
        </w:rPr>
        <w:t>) and higher</w:t>
      </w:r>
      <w:r w:rsidR="009E0324">
        <w:rPr>
          <w:rFonts w:asciiTheme="majorHAnsi" w:hAnsiTheme="majorHAnsi"/>
          <w:sz w:val="24"/>
          <w:szCs w:val="24"/>
        </w:rPr>
        <w:t xml:space="preserve"> bilirubin categories (&gt;9mg/</w:t>
      </w:r>
      <w:proofErr w:type="spellStart"/>
      <w:r w:rsidR="009E0324">
        <w:rPr>
          <w:rFonts w:asciiTheme="majorHAnsi" w:hAnsiTheme="majorHAnsi"/>
          <w:sz w:val="24"/>
          <w:szCs w:val="24"/>
        </w:rPr>
        <w:t>dL</w:t>
      </w:r>
      <w:proofErr w:type="spellEnd"/>
      <w:r w:rsidR="009E0324">
        <w:rPr>
          <w:rFonts w:asciiTheme="majorHAnsi" w:hAnsiTheme="majorHAnsi"/>
          <w:sz w:val="24"/>
          <w:szCs w:val="24"/>
        </w:rPr>
        <w:t>) compared to 80.0 to 88.31% in other categories.</w:t>
      </w:r>
    </w:p>
    <w:p w14:paraId="1D31DA18" w14:textId="2B57B090" w:rsidR="008445A8" w:rsidRDefault="009E0324" w:rsidP="004E2850">
      <w:pPr>
        <w:autoSpaceDE w:val="0"/>
        <w:autoSpaceDN w:val="0"/>
        <w:adjustRightInd w:val="0"/>
        <w:spacing w:after="120"/>
        <w:jc w:val="both"/>
        <w:rPr>
          <w:rFonts w:asciiTheme="majorHAnsi" w:hAnsiTheme="majorHAnsi"/>
          <w:sz w:val="24"/>
          <w:szCs w:val="24"/>
        </w:rPr>
      </w:pPr>
      <w:r>
        <w:rPr>
          <w:rFonts w:asciiTheme="majorHAnsi" w:hAnsiTheme="majorHAnsi"/>
          <w:sz w:val="24"/>
          <w:szCs w:val="24"/>
        </w:rPr>
        <w:t xml:space="preserve">On average, </w:t>
      </w:r>
      <w:r w:rsidRPr="009E0324">
        <w:rPr>
          <w:rFonts w:asciiTheme="majorHAnsi" w:hAnsiTheme="majorHAnsi"/>
          <w:sz w:val="24"/>
          <w:szCs w:val="24"/>
        </w:rPr>
        <w:t xml:space="preserve">50.65% of the total study population received treatment, however </w:t>
      </w:r>
      <w:r>
        <w:rPr>
          <w:rFonts w:asciiTheme="majorHAnsi" w:hAnsiTheme="majorHAnsi"/>
          <w:sz w:val="24"/>
          <w:szCs w:val="24"/>
        </w:rPr>
        <w:t>t</w:t>
      </w:r>
      <w:r w:rsidR="00C824AE">
        <w:rPr>
          <w:rFonts w:asciiTheme="majorHAnsi" w:hAnsiTheme="majorHAnsi"/>
          <w:sz w:val="24"/>
          <w:szCs w:val="24"/>
        </w:rPr>
        <w:t xml:space="preserve">hose with </w:t>
      </w:r>
      <w:r>
        <w:rPr>
          <w:rFonts w:asciiTheme="majorHAnsi" w:hAnsiTheme="majorHAnsi"/>
          <w:sz w:val="24"/>
          <w:szCs w:val="24"/>
        </w:rPr>
        <w:t xml:space="preserve">the </w:t>
      </w:r>
      <w:r w:rsidR="00C824AE">
        <w:rPr>
          <w:rFonts w:asciiTheme="majorHAnsi" w:hAnsiTheme="majorHAnsi"/>
          <w:sz w:val="24"/>
          <w:szCs w:val="24"/>
        </w:rPr>
        <w:t xml:space="preserve">highest baseline serum bilirubin level had lowest proportion (25%) assigned to treatment </w:t>
      </w:r>
      <w:r w:rsidR="00C824AE">
        <w:rPr>
          <w:rFonts w:asciiTheme="majorHAnsi" w:hAnsiTheme="majorHAnsi"/>
          <w:sz w:val="24"/>
          <w:szCs w:val="24"/>
        </w:rPr>
        <w:lastRenderedPageBreak/>
        <w:t>compared to other categories that were more or less about half the population within each category.</w:t>
      </w:r>
    </w:p>
    <w:p w14:paraId="1C8884B7" w14:textId="1D66889F" w:rsidR="008445A8" w:rsidRDefault="008445A8" w:rsidP="00442667">
      <w:pPr>
        <w:autoSpaceDE w:val="0"/>
        <w:autoSpaceDN w:val="0"/>
        <w:adjustRightInd w:val="0"/>
        <w:spacing w:after="120"/>
        <w:rPr>
          <w:rFonts w:asciiTheme="majorHAnsi" w:hAnsiTheme="majorHAnsi"/>
          <w:sz w:val="24"/>
          <w:szCs w:val="24"/>
        </w:rPr>
      </w:pPr>
      <w:r>
        <w:rPr>
          <w:rFonts w:asciiTheme="majorHAnsi" w:hAnsiTheme="majorHAnsi"/>
          <w:sz w:val="24"/>
          <w:szCs w:val="24"/>
        </w:rPr>
        <w:t>Figure1: Kaplan-Meier estimates for time distribution from study enrolment to death (any cause) among 418 study participants with different baseline levels of serum bilirubin</w:t>
      </w:r>
    </w:p>
    <w:p w14:paraId="1DAF745D" w14:textId="6091C692" w:rsidR="008320D3" w:rsidRDefault="00F15455" w:rsidP="008320D3">
      <w:pPr>
        <w:autoSpaceDE w:val="0"/>
        <w:autoSpaceDN w:val="0"/>
        <w:adjustRightInd w:val="0"/>
        <w:spacing w:after="120"/>
        <w:rPr>
          <w:color w:val="0000FF"/>
          <w:sz w:val="22"/>
          <w:szCs w:val="22"/>
        </w:rPr>
      </w:pPr>
      <w:r>
        <w:rPr>
          <w:noProof/>
          <w:color w:val="0000FF"/>
          <w:sz w:val="22"/>
          <w:szCs w:val="22"/>
        </w:rPr>
        <w:drawing>
          <wp:inline distT="0" distB="0" distL="0" distR="0" wp14:anchorId="4677126F" wp14:editId="7D4A8B21">
            <wp:extent cx="4363687" cy="2950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7183" cy="2952939"/>
                    </a:xfrm>
                    <a:prstGeom prst="rect">
                      <a:avLst/>
                    </a:prstGeom>
                    <a:noFill/>
                    <a:ln>
                      <a:noFill/>
                    </a:ln>
                  </pic:spPr>
                </pic:pic>
              </a:graphicData>
            </a:graphic>
          </wp:inline>
        </w:drawing>
      </w:r>
    </w:p>
    <w:p w14:paraId="6F2348EA" w14:textId="7F95714E" w:rsidR="008445A8" w:rsidRDefault="00C824AE" w:rsidP="008320D3">
      <w:pPr>
        <w:autoSpaceDE w:val="0"/>
        <w:autoSpaceDN w:val="0"/>
        <w:adjustRightInd w:val="0"/>
        <w:spacing w:after="120"/>
        <w:rPr>
          <w:color w:val="0000FF"/>
          <w:sz w:val="22"/>
          <w:szCs w:val="22"/>
        </w:rPr>
      </w:pPr>
      <w:r>
        <w:rPr>
          <w:rFonts w:asciiTheme="majorHAnsi" w:hAnsiTheme="majorHAnsi"/>
          <w:sz w:val="24"/>
          <w:szCs w:val="24"/>
        </w:rPr>
        <w:t>Figure2</w:t>
      </w:r>
      <w:r w:rsidR="0001345D">
        <w:rPr>
          <w:rFonts w:asciiTheme="majorHAnsi" w:hAnsiTheme="majorHAnsi"/>
          <w:sz w:val="24"/>
          <w:szCs w:val="24"/>
        </w:rPr>
        <w:t xml:space="preserve">: Kaplan-Meier estimates for time distribution from study enrolment to censoring among 418 study participants </w:t>
      </w:r>
    </w:p>
    <w:p w14:paraId="42483BD3" w14:textId="07CA7F8D" w:rsidR="00C1322F" w:rsidRDefault="00C1322F" w:rsidP="008320D3">
      <w:pPr>
        <w:autoSpaceDE w:val="0"/>
        <w:autoSpaceDN w:val="0"/>
        <w:adjustRightInd w:val="0"/>
        <w:spacing w:after="120"/>
        <w:rPr>
          <w:color w:val="0000FF"/>
          <w:sz w:val="22"/>
          <w:szCs w:val="22"/>
        </w:rPr>
      </w:pPr>
      <w:r>
        <w:rPr>
          <w:noProof/>
          <w:color w:val="0000FF"/>
          <w:sz w:val="22"/>
          <w:szCs w:val="22"/>
        </w:rPr>
        <w:drawing>
          <wp:inline distT="0" distB="0" distL="0" distR="0" wp14:anchorId="1997F1E3" wp14:editId="667340C9">
            <wp:extent cx="4362769" cy="317012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769" cy="3170121"/>
                    </a:xfrm>
                    <a:prstGeom prst="rect">
                      <a:avLst/>
                    </a:prstGeom>
                    <a:noFill/>
                    <a:ln>
                      <a:noFill/>
                    </a:ln>
                  </pic:spPr>
                </pic:pic>
              </a:graphicData>
            </a:graphic>
          </wp:inline>
        </w:drawing>
      </w:r>
    </w:p>
    <w:p w14:paraId="2354B22F" w14:textId="66DDAF5A" w:rsidR="006A5F43" w:rsidRDefault="00F6647F" w:rsidP="00442667">
      <w:pPr>
        <w:autoSpaceDE w:val="0"/>
        <w:autoSpaceDN w:val="0"/>
        <w:adjustRightInd w:val="0"/>
        <w:spacing w:after="120"/>
        <w:rPr>
          <w:color w:val="0000FF"/>
          <w:sz w:val="22"/>
          <w:szCs w:val="22"/>
        </w:rPr>
        <w:sectPr w:rsidR="006A5F43" w:rsidSect="00382BFF">
          <w:headerReference w:type="default" r:id="rId12"/>
          <w:type w:val="continuous"/>
          <w:pgSz w:w="12240" w:h="15840"/>
          <w:pgMar w:top="1296" w:right="1296" w:bottom="1296" w:left="1296" w:header="720" w:footer="720" w:gutter="0"/>
          <w:cols w:space="720"/>
          <w:noEndnote/>
        </w:sectPr>
      </w:pPr>
      <w:r>
        <w:rPr>
          <w:color w:val="0000FF"/>
          <w:sz w:val="22"/>
          <w:szCs w:val="22"/>
        </w:rPr>
        <w:t xml:space="preserve"> </w:t>
      </w:r>
    </w:p>
    <w:p w14:paraId="3DA80E3D" w14:textId="73371605" w:rsidR="006A5F43" w:rsidRDefault="006A5F43" w:rsidP="00442667">
      <w:pPr>
        <w:autoSpaceDE w:val="0"/>
        <w:autoSpaceDN w:val="0"/>
        <w:adjustRightInd w:val="0"/>
        <w:spacing w:after="120"/>
        <w:rPr>
          <w:color w:val="0000FF"/>
          <w:sz w:val="22"/>
          <w:szCs w:val="22"/>
        </w:rPr>
      </w:pPr>
    </w:p>
    <w:p w14:paraId="04CBDC12" w14:textId="785549A6" w:rsidR="000B6385" w:rsidRPr="00F15455" w:rsidRDefault="000B6385" w:rsidP="00442667">
      <w:pPr>
        <w:autoSpaceDE w:val="0"/>
        <w:autoSpaceDN w:val="0"/>
        <w:adjustRightInd w:val="0"/>
        <w:spacing w:after="120"/>
        <w:rPr>
          <w:rFonts w:asciiTheme="majorHAnsi" w:hAnsiTheme="majorHAnsi"/>
          <w:sz w:val="22"/>
          <w:szCs w:val="22"/>
        </w:rPr>
      </w:pPr>
      <w:r w:rsidRPr="00F15455">
        <w:rPr>
          <w:rFonts w:asciiTheme="majorHAnsi" w:hAnsiTheme="majorHAnsi"/>
          <w:sz w:val="22"/>
          <w:szCs w:val="22"/>
        </w:rPr>
        <w:t>Table</w:t>
      </w:r>
      <w:r w:rsidR="006A5F43" w:rsidRPr="00F15455">
        <w:rPr>
          <w:rFonts w:asciiTheme="majorHAnsi" w:hAnsiTheme="majorHAnsi"/>
          <w:sz w:val="22"/>
          <w:szCs w:val="22"/>
        </w:rPr>
        <w:t xml:space="preserve"> 1: </w:t>
      </w:r>
      <w:r w:rsidRPr="00F15455">
        <w:rPr>
          <w:rFonts w:asciiTheme="majorHAnsi" w:hAnsiTheme="majorHAnsi"/>
          <w:sz w:val="22"/>
          <w:szCs w:val="22"/>
        </w:rPr>
        <w:t xml:space="preserve"> </w:t>
      </w:r>
      <w:r w:rsidR="00F95BDD" w:rsidRPr="00F15455">
        <w:rPr>
          <w:rFonts w:asciiTheme="majorHAnsi" w:hAnsiTheme="majorHAnsi"/>
          <w:sz w:val="22"/>
          <w:szCs w:val="22"/>
        </w:rPr>
        <w:t>De</w:t>
      </w:r>
      <w:r w:rsidR="00310603" w:rsidRPr="00F15455">
        <w:rPr>
          <w:rFonts w:asciiTheme="majorHAnsi" w:hAnsiTheme="majorHAnsi"/>
          <w:sz w:val="22"/>
          <w:szCs w:val="22"/>
        </w:rPr>
        <w:t>scriptive statistics of study population</w:t>
      </w:r>
      <w:r w:rsidR="000D09B4" w:rsidRPr="00F15455">
        <w:rPr>
          <w:rFonts w:asciiTheme="majorHAnsi" w:hAnsiTheme="majorHAnsi"/>
          <w:sz w:val="22"/>
          <w:szCs w:val="22"/>
        </w:rPr>
        <w:t>’s demographic characteristics</w:t>
      </w:r>
      <w:r w:rsidR="00310603" w:rsidRPr="00F15455">
        <w:rPr>
          <w:rFonts w:asciiTheme="majorHAnsi" w:hAnsiTheme="majorHAnsi"/>
          <w:sz w:val="22"/>
          <w:szCs w:val="22"/>
        </w:rPr>
        <w:t xml:space="preserve"> </w:t>
      </w:r>
      <w:r w:rsidR="000D09B4" w:rsidRPr="00F15455">
        <w:rPr>
          <w:rFonts w:asciiTheme="majorHAnsi" w:hAnsiTheme="majorHAnsi"/>
          <w:sz w:val="22"/>
          <w:szCs w:val="22"/>
        </w:rPr>
        <w:t>with Kaplan-Meier</w:t>
      </w:r>
      <w:r w:rsidR="00F95BDD" w:rsidRPr="00F15455">
        <w:rPr>
          <w:rFonts w:asciiTheme="majorHAnsi" w:hAnsiTheme="majorHAnsi"/>
          <w:sz w:val="22"/>
          <w:szCs w:val="22"/>
        </w:rPr>
        <w:t xml:space="preserve"> </w:t>
      </w:r>
      <w:r w:rsidR="000D09B4" w:rsidRPr="00F15455">
        <w:rPr>
          <w:rFonts w:asciiTheme="majorHAnsi" w:hAnsiTheme="majorHAnsi"/>
          <w:sz w:val="22"/>
          <w:szCs w:val="22"/>
        </w:rPr>
        <w:t>based estimates of distribution of time from study enrolment to death from any cause</w:t>
      </w:r>
      <w:r w:rsidR="0001345D">
        <w:rPr>
          <w:rFonts w:asciiTheme="majorHAnsi" w:hAnsiTheme="majorHAnsi"/>
          <w:sz w:val="22"/>
          <w:szCs w:val="22"/>
        </w:rPr>
        <w:t xml:space="preserve"> and censoring</w:t>
      </w:r>
      <w:r w:rsidR="000D09B4" w:rsidRPr="00F15455">
        <w:rPr>
          <w:rFonts w:asciiTheme="majorHAnsi" w:hAnsiTheme="majorHAnsi"/>
          <w:sz w:val="22"/>
          <w:szCs w:val="22"/>
        </w:rPr>
        <w:t xml:space="preserve"> for </w:t>
      </w:r>
      <w:r w:rsidR="00680D00" w:rsidRPr="00F15455">
        <w:rPr>
          <w:rFonts w:asciiTheme="majorHAnsi" w:hAnsiTheme="majorHAnsi"/>
          <w:sz w:val="22"/>
          <w:szCs w:val="22"/>
        </w:rPr>
        <w:t xml:space="preserve">total study population and within baseline </w:t>
      </w:r>
      <w:r w:rsidR="000D09B4" w:rsidRPr="00F15455">
        <w:rPr>
          <w:rFonts w:asciiTheme="majorHAnsi" w:hAnsiTheme="majorHAnsi"/>
          <w:sz w:val="22"/>
          <w:szCs w:val="22"/>
        </w:rPr>
        <w:t xml:space="preserve">serum bilirubin </w:t>
      </w:r>
      <w:r w:rsidR="00680D00" w:rsidRPr="00F15455">
        <w:rPr>
          <w:rFonts w:asciiTheme="majorHAnsi" w:hAnsiTheme="majorHAnsi"/>
          <w:sz w:val="22"/>
          <w:szCs w:val="22"/>
        </w:rPr>
        <w:t>categories</w:t>
      </w:r>
    </w:p>
    <w:tbl>
      <w:tblPr>
        <w:tblStyle w:val="TableClassic1"/>
        <w:tblW w:w="4683" w:type="pct"/>
        <w:tblLook w:val="04A0" w:firstRow="1" w:lastRow="0" w:firstColumn="1" w:lastColumn="0" w:noHBand="0" w:noVBand="1"/>
      </w:tblPr>
      <w:tblGrid>
        <w:gridCol w:w="2251"/>
        <w:gridCol w:w="1105"/>
        <w:gridCol w:w="1526"/>
        <w:gridCol w:w="1463"/>
        <w:gridCol w:w="1594"/>
        <w:gridCol w:w="1508"/>
        <w:gridCol w:w="1531"/>
        <w:gridCol w:w="1632"/>
      </w:tblGrid>
      <w:tr w:rsidR="006A5F43" w:rsidRPr="006A5F43" w14:paraId="42207841" w14:textId="77777777" w:rsidTr="00013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082B0D1F" w14:textId="77777777" w:rsidR="006A5F43" w:rsidRPr="006A5F43" w:rsidRDefault="006A5F43" w:rsidP="00442667">
            <w:pPr>
              <w:autoSpaceDE w:val="0"/>
              <w:autoSpaceDN w:val="0"/>
              <w:adjustRightInd w:val="0"/>
              <w:spacing w:after="120"/>
              <w:rPr>
                <w:rFonts w:asciiTheme="majorHAnsi" w:hAnsiTheme="majorHAnsi"/>
              </w:rPr>
            </w:pPr>
          </w:p>
        </w:tc>
        <w:tc>
          <w:tcPr>
            <w:tcW w:w="3460" w:type="pct"/>
            <w:gridSpan w:val="6"/>
            <w:tcBorders>
              <w:bottom w:val="single" w:sz="4" w:space="0" w:color="auto"/>
            </w:tcBorders>
          </w:tcPr>
          <w:p w14:paraId="0A5536B8" w14:textId="76120FEB" w:rsidR="006A5F43" w:rsidRPr="006A5F43" w:rsidRDefault="006A5F43" w:rsidP="006A5F43">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Serum Bilirubin Level at Study Enrollment </w:t>
            </w:r>
          </w:p>
        </w:tc>
        <w:tc>
          <w:tcPr>
            <w:tcW w:w="647" w:type="pct"/>
            <w:tcBorders>
              <w:bottom w:val="single" w:sz="4" w:space="0" w:color="auto"/>
            </w:tcBorders>
          </w:tcPr>
          <w:p w14:paraId="0220DF3A" w14:textId="77777777" w:rsidR="006A5F43" w:rsidRPr="006A5F43" w:rsidRDefault="006A5F43" w:rsidP="009B4659">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6A5F43" w:rsidRPr="006A5F43" w14:paraId="116075E2" w14:textId="5A22F309" w:rsidTr="0001345D">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bottom w:val="nil"/>
            </w:tcBorders>
          </w:tcPr>
          <w:p w14:paraId="5572C1BA" w14:textId="77777777" w:rsidR="00E76566" w:rsidRPr="006A5F43" w:rsidRDefault="00E76566" w:rsidP="00442667">
            <w:pPr>
              <w:autoSpaceDE w:val="0"/>
              <w:autoSpaceDN w:val="0"/>
              <w:adjustRightInd w:val="0"/>
              <w:spacing w:after="120"/>
              <w:rPr>
                <w:rFonts w:asciiTheme="majorHAnsi" w:hAnsiTheme="majorHAnsi"/>
              </w:rPr>
            </w:pPr>
          </w:p>
        </w:tc>
        <w:tc>
          <w:tcPr>
            <w:tcW w:w="438" w:type="pct"/>
            <w:tcBorders>
              <w:top w:val="single" w:sz="4" w:space="0" w:color="auto"/>
              <w:bottom w:val="single" w:sz="4" w:space="0" w:color="auto"/>
            </w:tcBorders>
          </w:tcPr>
          <w:p w14:paraId="2E7EDAAF" w14:textId="24C2DADA"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0 mg/</w:t>
            </w:r>
            <w:proofErr w:type="spellStart"/>
            <w:r w:rsidRPr="006A5F43">
              <w:rPr>
                <w:rFonts w:asciiTheme="majorHAnsi" w:hAnsiTheme="majorHAnsi"/>
              </w:rPr>
              <w:t>dL</w:t>
            </w:r>
            <w:proofErr w:type="spellEnd"/>
          </w:p>
        </w:tc>
        <w:tc>
          <w:tcPr>
            <w:tcW w:w="605" w:type="pct"/>
            <w:tcBorders>
              <w:top w:val="single" w:sz="4" w:space="0" w:color="auto"/>
              <w:bottom w:val="single" w:sz="4" w:space="0" w:color="auto"/>
            </w:tcBorders>
          </w:tcPr>
          <w:p w14:paraId="53982472" w14:textId="384CCAC4"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 mg/</w:t>
            </w:r>
            <w:proofErr w:type="spellStart"/>
            <w:r w:rsidRPr="006A5F43">
              <w:rPr>
                <w:rFonts w:asciiTheme="majorHAnsi" w:hAnsiTheme="majorHAnsi"/>
              </w:rPr>
              <w:t>dL</w:t>
            </w:r>
            <w:proofErr w:type="spellEnd"/>
          </w:p>
        </w:tc>
        <w:tc>
          <w:tcPr>
            <w:tcW w:w="580" w:type="pct"/>
            <w:tcBorders>
              <w:top w:val="single" w:sz="4" w:space="0" w:color="auto"/>
              <w:bottom w:val="single" w:sz="4" w:space="0" w:color="auto"/>
            </w:tcBorders>
          </w:tcPr>
          <w:p w14:paraId="14D1FD51" w14:textId="750B87B5" w:rsidR="00E76566" w:rsidRPr="006A5F43" w:rsidRDefault="00E76566" w:rsidP="006A5F43">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 – 4 mg/</w:t>
            </w:r>
            <w:proofErr w:type="spellStart"/>
            <w:r w:rsidRPr="006A5F43">
              <w:rPr>
                <w:rFonts w:asciiTheme="majorHAnsi" w:hAnsiTheme="majorHAnsi"/>
              </w:rPr>
              <w:t>dL</w:t>
            </w:r>
            <w:proofErr w:type="spellEnd"/>
          </w:p>
        </w:tc>
        <w:tc>
          <w:tcPr>
            <w:tcW w:w="632" w:type="pct"/>
            <w:tcBorders>
              <w:top w:val="single" w:sz="4" w:space="0" w:color="auto"/>
              <w:bottom w:val="single" w:sz="4" w:space="0" w:color="auto"/>
            </w:tcBorders>
          </w:tcPr>
          <w:p w14:paraId="1E2CD654" w14:textId="63D50E73"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 – 8 mg/</w:t>
            </w:r>
            <w:proofErr w:type="spellStart"/>
            <w:r w:rsidRPr="006A5F43">
              <w:rPr>
                <w:rFonts w:asciiTheme="majorHAnsi" w:hAnsiTheme="majorHAnsi"/>
              </w:rPr>
              <w:t>dL</w:t>
            </w:r>
            <w:proofErr w:type="spellEnd"/>
          </w:p>
        </w:tc>
        <w:tc>
          <w:tcPr>
            <w:tcW w:w="598" w:type="pct"/>
            <w:tcBorders>
              <w:top w:val="single" w:sz="4" w:space="0" w:color="auto"/>
              <w:bottom w:val="single" w:sz="4" w:space="0" w:color="auto"/>
            </w:tcBorders>
          </w:tcPr>
          <w:p w14:paraId="261934C6" w14:textId="2F0F8B8E"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 – 16mg/</w:t>
            </w:r>
            <w:proofErr w:type="spellStart"/>
            <w:r w:rsidRPr="006A5F43">
              <w:rPr>
                <w:rFonts w:asciiTheme="majorHAnsi" w:hAnsiTheme="majorHAnsi"/>
              </w:rPr>
              <w:t>dL</w:t>
            </w:r>
            <w:proofErr w:type="spellEnd"/>
          </w:p>
        </w:tc>
        <w:tc>
          <w:tcPr>
            <w:tcW w:w="607" w:type="pct"/>
            <w:tcBorders>
              <w:top w:val="single" w:sz="4" w:space="0" w:color="auto"/>
              <w:bottom w:val="single" w:sz="4" w:space="0" w:color="auto"/>
            </w:tcBorders>
          </w:tcPr>
          <w:p w14:paraId="2930B648" w14:textId="35E13509"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17 – 28 mg/</w:t>
            </w:r>
            <w:proofErr w:type="spellStart"/>
            <w:r w:rsidRPr="006A5F43">
              <w:rPr>
                <w:rFonts w:asciiTheme="majorHAnsi" w:hAnsiTheme="majorHAnsi"/>
              </w:rPr>
              <w:t>dL</w:t>
            </w:r>
            <w:proofErr w:type="spellEnd"/>
          </w:p>
        </w:tc>
        <w:tc>
          <w:tcPr>
            <w:tcW w:w="647" w:type="pct"/>
            <w:tcBorders>
              <w:top w:val="single" w:sz="4" w:space="0" w:color="auto"/>
              <w:bottom w:val="single" w:sz="4" w:space="0" w:color="auto"/>
            </w:tcBorders>
          </w:tcPr>
          <w:p w14:paraId="09D273D1" w14:textId="785A22D9"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Total</w:t>
            </w:r>
          </w:p>
        </w:tc>
      </w:tr>
      <w:tr w:rsidR="006A5F43" w:rsidRPr="006A5F43" w14:paraId="3B441661" w14:textId="69B1E0B4"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3C971161" w14:textId="471F76B7" w:rsidR="00E76566" w:rsidRPr="006A5F43" w:rsidRDefault="006A5F43" w:rsidP="00442667">
            <w:pPr>
              <w:autoSpaceDE w:val="0"/>
              <w:autoSpaceDN w:val="0"/>
              <w:adjustRightInd w:val="0"/>
              <w:spacing w:after="120"/>
              <w:rPr>
                <w:rFonts w:asciiTheme="majorHAnsi" w:hAnsiTheme="majorHAnsi"/>
              </w:rPr>
            </w:pPr>
            <w:r>
              <w:rPr>
                <w:rFonts w:asciiTheme="majorHAnsi" w:hAnsiTheme="majorHAnsi"/>
              </w:rPr>
              <w:t>Number of Subjects</w:t>
            </w:r>
          </w:p>
        </w:tc>
        <w:tc>
          <w:tcPr>
            <w:tcW w:w="438" w:type="pct"/>
            <w:tcBorders>
              <w:top w:val="single" w:sz="4" w:space="0" w:color="auto"/>
            </w:tcBorders>
          </w:tcPr>
          <w:p w14:paraId="0CA5C9D9"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142</w:t>
            </w:r>
          </w:p>
          <w:p w14:paraId="0A828B83"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5" w:type="pct"/>
            <w:tcBorders>
              <w:top w:val="single" w:sz="4" w:space="0" w:color="auto"/>
            </w:tcBorders>
          </w:tcPr>
          <w:p w14:paraId="7AD617D6"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107</w:t>
            </w:r>
          </w:p>
          <w:p w14:paraId="4D2EC8D3"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80" w:type="pct"/>
            <w:tcBorders>
              <w:top w:val="single" w:sz="4" w:space="0" w:color="auto"/>
            </w:tcBorders>
          </w:tcPr>
          <w:p w14:paraId="62F6F49E"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91</w:t>
            </w:r>
          </w:p>
          <w:p w14:paraId="4995D094"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32" w:type="pct"/>
            <w:tcBorders>
              <w:top w:val="single" w:sz="4" w:space="0" w:color="auto"/>
            </w:tcBorders>
          </w:tcPr>
          <w:p w14:paraId="2A63A389"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43</w:t>
            </w:r>
          </w:p>
          <w:p w14:paraId="2D3EA0D9"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98" w:type="pct"/>
            <w:tcBorders>
              <w:top w:val="single" w:sz="4" w:space="0" w:color="auto"/>
            </w:tcBorders>
          </w:tcPr>
          <w:p w14:paraId="5D2002A8"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22</w:t>
            </w:r>
          </w:p>
          <w:p w14:paraId="17E21AC3"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7" w:type="pct"/>
            <w:tcBorders>
              <w:top w:val="single" w:sz="4" w:space="0" w:color="auto"/>
            </w:tcBorders>
          </w:tcPr>
          <w:p w14:paraId="5B8C3087"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13</w:t>
            </w:r>
          </w:p>
          <w:p w14:paraId="0B5913AB"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47" w:type="pct"/>
            <w:tcBorders>
              <w:top w:val="single" w:sz="4" w:space="0" w:color="auto"/>
            </w:tcBorders>
          </w:tcPr>
          <w:p w14:paraId="0F0BAB05"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418</w:t>
            </w:r>
          </w:p>
          <w:p w14:paraId="68065A0A"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6A5F43" w:rsidRPr="006A5F43" w14:paraId="08204AF5" w14:textId="56B92D1D" w:rsidTr="0001345D">
        <w:tc>
          <w:tcPr>
            <w:cnfStyle w:val="001000000000" w:firstRow="0" w:lastRow="0" w:firstColumn="1" w:lastColumn="0" w:oddVBand="0" w:evenVBand="0" w:oddHBand="0" w:evenHBand="0" w:firstRowFirstColumn="0" w:firstRowLastColumn="0" w:lastRowFirstColumn="0" w:lastRowLastColumn="0"/>
            <w:tcW w:w="893" w:type="pct"/>
          </w:tcPr>
          <w:p w14:paraId="3E1B5085" w14:textId="217A2180" w:rsidR="00E76566" w:rsidRPr="006A5F43" w:rsidRDefault="00E76566" w:rsidP="00442667">
            <w:pPr>
              <w:autoSpaceDE w:val="0"/>
              <w:autoSpaceDN w:val="0"/>
              <w:adjustRightInd w:val="0"/>
              <w:spacing w:after="120"/>
              <w:rPr>
                <w:rFonts w:asciiTheme="majorHAnsi" w:hAnsiTheme="majorHAnsi"/>
              </w:rPr>
            </w:pPr>
            <w:r w:rsidRPr="006A5F43">
              <w:rPr>
                <w:rFonts w:asciiTheme="majorHAnsi" w:hAnsiTheme="majorHAnsi"/>
              </w:rPr>
              <w:t>Age (y</w:t>
            </w:r>
            <w:r w:rsidR="008F60A0">
              <w:rPr>
                <w:rFonts w:asciiTheme="majorHAnsi" w:hAnsiTheme="majorHAnsi"/>
              </w:rPr>
              <w:t>ea</w:t>
            </w:r>
            <w:r w:rsidRPr="006A5F43">
              <w:rPr>
                <w:rFonts w:asciiTheme="majorHAnsi" w:hAnsiTheme="majorHAnsi"/>
              </w:rPr>
              <w:t>rs)</w:t>
            </w:r>
          </w:p>
        </w:tc>
        <w:tc>
          <w:tcPr>
            <w:tcW w:w="438" w:type="pct"/>
          </w:tcPr>
          <w:p w14:paraId="4039ED43" w14:textId="77777777" w:rsidR="006A5F43" w:rsidRPr="006A5F43" w:rsidRDefault="00FD3FF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51.19</w:t>
            </w:r>
            <w:r w:rsidR="009B4659" w:rsidRPr="006A5F43">
              <w:rPr>
                <w:rFonts w:asciiTheme="majorHAnsi" w:hAnsiTheme="majorHAnsi"/>
              </w:rPr>
              <w:t xml:space="preserve">; 9.8 </w:t>
            </w:r>
          </w:p>
          <w:p w14:paraId="38ECCA85" w14:textId="094FECEC" w:rsidR="00E76566" w:rsidRPr="006A5F43" w:rsidRDefault="009B4659"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FD3FF2" w:rsidRPr="006A5F43">
              <w:rPr>
                <w:rFonts w:asciiTheme="majorHAnsi" w:hAnsiTheme="majorHAnsi"/>
              </w:rPr>
              <w:t xml:space="preserve">30.57 – </w:t>
            </w:r>
            <w:r w:rsidR="00E76566" w:rsidRPr="006A5F43">
              <w:rPr>
                <w:rFonts w:asciiTheme="majorHAnsi" w:hAnsiTheme="majorHAnsi"/>
              </w:rPr>
              <w:t>75</w:t>
            </w:r>
            <w:r w:rsidR="00FD3FF2" w:rsidRPr="006A5F43">
              <w:rPr>
                <w:rFonts w:asciiTheme="majorHAnsi" w:hAnsiTheme="majorHAnsi"/>
              </w:rPr>
              <w:t>)</w:t>
            </w:r>
          </w:p>
        </w:tc>
        <w:tc>
          <w:tcPr>
            <w:tcW w:w="605" w:type="pct"/>
          </w:tcPr>
          <w:p w14:paraId="5A40DB72" w14:textId="77777777" w:rsidR="006A5F43"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50.5</w:t>
            </w:r>
            <w:r w:rsidR="009B4659" w:rsidRPr="006A5F43">
              <w:rPr>
                <w:rFonts w:asciiTheme="majorHAnsi" w:hAnsiTheme="majorHAnsi"/>
              </w:rPr>
              <w:t xml:space="preserve">6; </w:t>
            </w:r>
            <w:r w:rsidRPr="006A5F43">
              <w:rPr>
                <w:rFonts w:asciiTheme="majorHAnsi" w:hAnsiTheme="majorHAnsi"/>
              </w:rPr>
              <w:t>10.79</w:t>
            </w:r>
            <w:r w:rsidR="00FD3FF2" w:rsidRPr="006A5F43">
              <w:rPr>
                <w:rFonts w:asciiTheme="majorHAnsi" w:hAnsiTheme="majorHAnsi"/>
              </w:rPr>
              <w:t xml:space="preserve"> </w:t>
            </w:r>
          </w:p>
          <w:p w14:paraId="6F221FBD" w14:textId="052F89B9" w:rsidR="00E76566" w:rsidRPr="006A5F43" w:rsidRDefault="009B4659"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FD3FF2" w:rsidRPr="006A5F43">
              <w:rPr>
                <w:rFonts w:asciiTheme="majorHAnsi" w:hAnsiTheme="majorHAnsi"/>
              </w:rPr>
              <w:t>26.28 – 76.7</w:t>
            </w:r>
            <w:r w:rsidR="00E76566" w:rsidRPr="006A5F43">
              <w:rPr>
                <w:rFonts w:asciiTheme="majorHAnsi" w:hAnsiTheme="majorHAnsi"/>
              </w:rPr>
              <w:t>1</w:t>
            </w:r>
            <w:r w:rsidR="00FD3FF2" w:rsidRPr="006A5F43">
              <w:rPr>
                <w:rFonts w:asciiTheme="majorHAnsi" w:hAnsiTheme="majorHAnsi"/>
              </w:rPr>
              <w:t>)</w:t>
            </w:r>
          </w:p>
        </w:tc>
        <w:tc>
          <w:tcPr>
            <w:tcW w:w="580" w:type="pct"/>
          </w:tcPr>
          <w:p w14:paraId="0BC32180" w14:textId="77777777" w:rsidR="006A5F43" w:rsidRPr="006A5F43" w:rsidRDefault="00646CF7" w:rsidP="006A5F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 xml:space="preserve">50.15; </w:t>
            </w:r>
            <w:r w:rsidR="00E76566" w:rsidRPr="006A5F43">
              <w:rPr>
                <w:rFonts w:asciiTheme="majorHAnsi" w:hAnsiTheme="majorHAnsi"/>
              </w:rPr>
              <w:t>11.43</w:t>
            </w:r>
            <w:r w:rsidR="00FD3FF2" w:rsidRPr="006A5F43">
              <w:rPr>
                <w:rFonts w:asciiTheme="majorHAnsi" w:hAnsiTheme="majorHAnsi"/>
              </w:rPr>
              <w:t xml:space="preserve"> </w:t>
            </w:r>
          </w:p>
          <w:p w14:paraId="3993D871" w14:textId="57E8F42E" w:rsidR="00E76566" w:rsidRPr="006A5F43" w:rsidRDefault="00646CF7" w:rsidP="006A5F43">
            <w:pPr>
              <w:autoSpaceDE w:val="0"/>
              <w:autoSpaceDN w:val="0"/>
              <w:adjustRightInd w:val="0"/>
              <w:ind w:left="-256" w:firstLine="256"/>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E76566" w:rsidRPr="006A5F43">
              <w:rPr>
                <w:rFonts w:asciiTheme="majorHAnsi" w:hAnsiTheme="majorHAnsi"/>
              </w:rPr>
              <w:t>29.5</w:t>
            </w:r>
            <w:r w:rsidR="00FD3FF2" w:rsidRPr="006A5F43">
              <w:rPr>
                <w:rFonts w:asciiTheme="majorHAnsi" w:hAnsiTheme="majorHAnsi"/>
              </w:rPr>
              <w:t xml:space="preserve">6 – </w:t>
            </w:r>
            <w:r w:rsidR="00E76566" w:rsidRPr="006A5F43">
              <w:rPr>
                <w:rFonts w:asciiTheme="majorHAnsi" w:hAnsiTheme="majorHAnsi"/>
              </w:rPr>
              <w:t>71.89</w:t>
            </w:r>
            <w:r w:rsidR="00FD3FF2" w:rsidRPr="006A5F43">
              <w:rPr>
                <w:rFonts w:asciiTheme="majorHAnsi" w:hAnsiTheme="majorHAnsi"/>
              </w:rPr>
              <w:t>)</w:t>
            </w:r>
          </w:p>
        </w:tc>
        <w:tc>
          <w:tcPr>
            <w:tcW w:w="632" w:type="pct"/>
          </w:tcPr>
          <w:p w14:paraId="34471C1A" w14:textId="772B5880" w:rsidR="00FD3FF2"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50.92; 11.12</w:t>
            </w:r>
          </w:p>
          <w:p w14:paraId="552FA8B4" w14:textId="4DC41A22"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FD3FF2" w:rsidRPr="006A5F43">
              <w:rPr>
                <w:rFonts w:asciiTheme="majorHAnsi" w:hAnsiTheme="majorHAnsi"/>
              </w:rPr>
              <w:t>30.86 – 78.4</w:t>
            </w:r>
            <w:r w:rsidR="00E76566" w:rsidRPr="006A5F43">
              <w:rPr>
                <w:rFonts w:asciiTheme="majorHAnsi" w:hAnsiTheme="majorHAnsi"/>
              </w:rPr>
              <w:t>4</w:t>
            </w:r>
            <w:r w:rsidR="00FD3FF2" w:rsidRPr="006A5F43">
              <w:rPr>
                <w:rFonts w:asciiTheme="majorHAnsi" w:hAnsiTheme="majorHAnsi"/>
              </w:rPr>
              <w:t>)</w:t>
            </w:r>
          </w:p>
        </w:tc>
        <w:tc>
          <w:tcPr>
            <w:tcW w:w="598" w:type="pct"/>
          </w:tcPr>
          <w:p w14:paraId="48084498" w14:textId="6AAAFD98"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 xml:space="preserve">50.55; </w:t>
            </w:r>
            <w:r w:rsidR="00FD3FF2" w:rsidRPr="006A5F43">
              <w:rPr>
                <w:rFonts w:asciiTheme="majorHAnsi" w:hAnsiTheme="majorHAnsi"/>
              </w:rPr>
              <w:t>9</w:t>
            </w:r>
            <w:r w:rsidRPr="006A5F43">
              <w:rPr>
                <w:rFonts w:asciiTheme="majorHAnsi" w:hAnsiTheme="majorHAnsi"/>
              </w:rPr>
              <w:t>.98</w:t>
            </w:r>
            <w:r w:rsidR="00FD3FF2" w:rsidRPr="006A5F43">
              <w:rPr>
                <w:rFonts w:asciiTheme="majorHAnsi" w:hAnsiTheme="majorHAnsi"/>
              </w:rPr>
              <w:t xml:space="preserve"> </w:t>
            </w:r>
            <w:r w:rsidRPr="006A5F43">
              <w:rPr>
                <w:rFonts w:asciiTheme="majorHAnsi" w:hAnsiTheme="majorHAnsi"/>
              </w:rPr>
              <w:t>(</w:t>
            </w:r>
            <w:r w:rsidR="00FD3FF2" w:rsidRPr="006A5F43">
              <w:rPr>
                <w:rFonts w:asciiTheme="majorHAnsi" w:hAnsiTheme="majorHAnsi"/>
              </w:rPr>
              <w:t>33.18 –</w:t>
            </w:r>
            <w:r w:rsidR="00E76566" w:rsidRPr="006A5F43">
              <w:rPr>
                <w:rFonts w:asciiTheme="majorHAnsi" w:hAnsiTheme="majorHAnsi"/>
              </w:rPr>
              <w:t xml:space="preserve">- </w:t>
            </w:r>
            <w:r w:rsidR="00FD3FF2" w:rsidRPr="006A5F43">
              <w:rPr>
                <w:rFonts w:asciiTheme="majorHAnsi" w:hAnsiTheme="majorHAnsi"/>
              </w:rPr>
              <w:t>70.56)</w:t>
            </w:r>
          </w:p>
        </w:tc>
        <w:tc>
          <w:tcPr>
            <w:tcW w:w="607" w:type="pct"/>
          </w:tcPr>
          <w:p w14:paraId="00D77714" w14:textId="2BAC50BB"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51.13; 6.57</w:t>
            </w:r>
            <w:r w:rsidR="00FD3FF2" w:rsidRPr="006A5F43">
              <w:rPr>
                <w:rFonts w:asciiTheme="majorHAnsi" w:hAnsiTheme="majorHAnsi"/>
              </w:rPr>
              <w:t xml:space="preserve"> </w:t>
            </w:r>
            <w:r w:rsidRPr="006A5F43">
              <w:rPr>
                <w:rFonts w:asciiTheme="majorHAnsi" w:hAnsiTheme="majorHAnsi"/>
              </w:rPr>
              <w:t>(</w:t>
            </w:r>
            <w:r w:rsidR="00FD3FF2" w:rsidRPr="006A5F43">
              <w:rPr>
                <w:rFonts w:asciiTheme="majorHAnsi" w:hAnsiTheme="majorHAnsi"/>
              </w:rPr>
              <w:t>43.52 – 65.88)</w:t>
            </w:r>
          </w:p>
        </w:tc>
        <w:tc>
          <w:tcPr>
            <w:tcW w:w="647" w:type="pct"/>
          </w:tcPr>
          <w:p w14:paraId="19049890" w14:textId="7EC691AB"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 xml:space="preserve">50.74; </w:t>
            </w:r>
            <w:r w:rsidR="00E76566" w:rsidRPr="006A5F43">
              <w:rPr>
                <w:rFonts w:asciiTheme="majorHAnsi" w:hAnsiTheme="majorHAnsi"/>
              </w:rPr>
              <w:t>10.4</w:t>
            </w:r>
            <w:r w:rsidRPr="006A5F43">
              <w:rPr>
                <w:rFonts w:asciiTheme="majorHAnsi" w:hAnsiTheme="majorHAnsi"/>
              </w:rPr>
              <w:t>5</w:t>
            </w:r>
            <w:r w:rsidR="00FD3FF2" w:rsidRPr="006A5F43">
              <w:rPr>
                <w:rFonts w:asciiTheme="majorHAnsi" w:hAnsiTheme="majorHAnsi"/>
              </w:rPr>
              <w:t xml:space="preserve"> </w:t>
            </w:r>
            <w:r w:rsidRPr="006A5F43">
              <w:rPr>
                <w:rFonts w:asciiTheme="majorHAnsi" w:hAnsiTheme="majorHAnsi"/>
              </w:rPr>
              <w:t>(</w:t>
            </w:r>
            <w:r w:rsidR="00FD3FF2" w:rsidRPr="006A5F43">
              <w:rPr>
                <w:rFonts w:asciiTheme="majorHAnsi" w:hAnsiTheme="majorHAnsi"/>
              </w:rPr>
              <w:t>26.28 –78.4</w:t>
            </w:r>
            <w:r w:rsidR="00E76566" w:rsidRPr="006A5F43">
              <w:rPr>
                <w:rFonts w:asciiTheme="majorHAnsi" w:hAnsiTheme="majorHAnsi"/>
              </w:rPr>
              <w:t>4</w:t>
            </w:r>
            <w:r w:rsidRPr="006A5F43">
              <w:rPr>
                <w:rFonts w:asciiTheme="majorHAnsi" w:hAnsiTheme="majorHAnsi"/>
              </w:rPr>
              <w:t>)</w:t>
            </w:r>
          </w:p>
        </w:tc>
      </w:tr>
      <w:tr w:rsidR="006A5F43" w:rsidRPr="006A5F43" w14:paraId="6D474881" w14:textId="605D9CC9" w:rsidTr="0001345D">
        <w:tc>
          <w:tcPr>
            <w:cnfStyle w:val="001000000000" w:firstRow="0" w:lastRow="0" w:firstColumn="1" w:lastColumn="0" w:oddVBand="0" w:evenVBand="0" w:oddHBand="0" w:evenHBand="0" w:firstRowFirstColumn="0" w:firstRowLastColumn="0" w:lastRowFirstColumn="0" w:lastRowLastColumn="0"/>
            <w:tcW w:w="893" w:type="pct"/>
          </w:tcPr>
          <w:p w14:paraId="59E8583E" w14:textId="42FDE68F" w:rsidR="00E76566" w:rsidRPr="006A5F43" w:rsidRDefault="00E76566" w:rsidP="00442667">
            <w:pPr>
              <w:autoSpaceDE w:val="0"/>
              <w:autoSpaceDN w:val="0"/>
              <w:adjustRightInd w:val="0"/>
              <w:spacing w:after="120"/>
              <w:rPr>
                <w:rFonts w:asciiTheme="majorHAnsi" w:hAnsiTheme="majorHAnsi"/>
              </w:rPr>
            </w:pPr>
            <w:r w:rsidRPr="006A5F43">
              <w:rPr>
                <w:rFonts w:asciiTheme="majorHAnsi" w:hAnsiTheme="majorHAnsi"/>
              </w:rPr>
              <w:t>Female</w:t>
            </w:r>
            <w:r w:rsidR="008F60A0">
              <w:rPr>
                <w:rFonts w:asciiTheme="majorHAnsi" w:hAnsiTheme="majorHAnsi"/>
              </w:rPr>
              <w:t xml:space="preserve"> N</w:t>
            </w:r>
            <w:r w:rsidR="007A0F6A" w:rsidRPr="007A0F6A">
              <w:rPr>
                <w:rFonts w:asciiTheme="majorHAnsi" w:hAnsiTheme="majorHAnsi"/>
                <w:vertAlign w:val="superscript"/>
              </w:rPr>
              <w:t>3</w:t>
            </w:r>
            <w:r w:rsidR="008F60A0">
              <w:rPr>
                <w:rFonts w:asciiTheme="majorHAnsi" w:hAnsiTheme="majorHAnsi"/>
              </w:rPr>
              <w:t>, %</w:t>
            </w:r>
          </w:p>
        </w:tc>
        <w:tc>
          <w:tcPr>
            <w:tcW w:w="438" w:type="pct"/>
          </w:tcPr>
          <w:p w14:paraId="67DFA944"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104</w:t>
            </w:r>
          </w:p>
          <w:p w14:paraId="418E280D" w14:textId="2418D63D"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93</w:t>
            </w:r>
            <w:r w:rsidR="00FD3FF2" w:rsidRPr="006A5F43">
              <w:rPr>
                <w:rFonts w:asciiTheme="majorHAnsi" w:hAnsiTheme="majorHAnsi"/>
              </w:rPr>
              <w:t>.</w:t>
            </w:r>
            <w:r w:rsidRPr="006A5F43">
              <w:rPr>
                <w:rFonts w:asciiTheme="majorHAnsi" w:hAnsiTheme="majorHAnsi"/>
              </w:rPr>
              <w:t>2</w:t>
            </w:r>
            <w:r w:rsidR="00686212" w:rsidRPr="006A5F43">
              <w:rPr>
                <w:rFonts w:asciiTheme="majorHAnsi" w:hAnsiTheme="majorHAnsi"/>
              </w:rPr>
              <w:t>7%</w:t>
            </w:r>
          </w:p>
        </w:tc>
        <w:tc>
          <w:tcPr>
            <w:tcW w:w="605" w:type="pct"/>
          </w:tcPr>
          <w:p w14:paraId="2368EA15"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77</w:t>
            </w:r>
          </w:p>
          <w:p w14:paraId="05A35949" w14:textId="7C9CB8C2"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w:t>
            </w:r>
            <w:r w:rsidR="00686212" w:rsidRPr="006A5F43">
              <w:rPr>
                <w:rFonts w:asciiTheme="majorHAnsi" w:hAnsiTheme="majorHAnsi"/>
              </w:rPr>
              <w:t>.</w:t>
            </w:r>
            <w:r w:rsidRPr="006A5F43">
              <w:rPr>
                <w:rFonts w:asciiTheme="majorHAnsi" w:hAnsiTheme="majorHAnsi"/>
              </w:rPr>
              <w:t>31</w:t>
            </w:r>
            <w:r w:rsidR="00686212" w:rsidRPr="006A5F43">
              <w:rPr>
                <w:rFonts w:asciiTheme="majorHAnsi" w:hAnsiTheme="majorHAnsi"/>
              </w:rPr>
              <w:t>%</w:t>
            </w:r>
          </w:p>
        </w:tc>
        <w:tc>
          <w:tcPr>
            <w:tcW w:w="580" w:type="pct"/>
          </w:tcPr>
          <w:p w14:paraId="19A796F8"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72</w:t>
            </w:r>
          </w:p>
          <w:p w14:paraId="614EFE41" w14:textId="1CFFBAA2"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81</w:t>
            </w:r>
            <w:r w:rsidR="00686212" w:rsidRPr="006A5F43">
              <w:rPr>
                <w:rFonts w:asciiTheme="majorHAnsi" w:hAnsiTheme="majorHAnsi"/>
              </w:rPr>
              <w:t>.</w:t>
            </w:r>
            <w:r w:rsidRPr="006A5F43">
              <w:rPr>
                <w:rFonts w:asciiTheme="majorHAnsi" w:hAnsiTheme="majorHAnsi"/>
              </w:rPr>
              <w:t>94</w:t>
            </w:r>
            <w:r w:rsidR="00686212" w:rsidRPr="006A5F43">
              <w:rPr>
                <w:rFonts w:asciiTheme="majorHAnsi" w:hAnsiTheme="majorHAnsi"/>
              </w:rPr>
              <w:t>%</w:t>
            </w:r>
          </w:p>
        </w:tc>
        <w:tc>
          <w:tcPr>
            <w:tcW w:w="632" w:type="pct"/>
          </w:tcPr>
          <w:p w14:paraId="29A51609"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35</w:t>
            </w:r>
          </w:p>
          <w:p w14:paraId="4D380240" w14:textId="6C5A9261"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w:t>
            </w:r>
            <w:r w:rsidR="00686212" w:rsidRPr="006A5F43">
              <w:rPr>
                <w:rFonts w:asciiTheme="majorHAnsi" w:hAnsiTheme="majorHAnsi"/>
              </w:rPr>
              <w:t>0%</w:t>
            </w:r>
          </w:p>
        </w:tc>
        <w:tc>
          <w:tcPr>
            <w:tcW w:w="598" w:type="pct"/>
          </w:tcPr>
          <w:p w14:paraId="69AE8760" w14:textId="77777777" w:rsidR="00686212"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274CDE77" w14:textId="6577C7F1" w:rsidR="00E76566"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07" w:type="pct"/>
          </w:tcPr>
          <w:p w14:paraId="241FEB3A" w14:textId="77777777"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484DAF56" w14:textId="778FE45D"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47" w:type="pct"/>
          </w:tcPr>
          <w:p w14:paraId="24E54849" w14:textId="7A01FE20"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312</w:t>
            </w:r>
            <w:r w:rsidR="00F95BDD" w:rsidRPr="00F95BDD">
              <w:rPr>
                <w:rFonts w:asciiTheme="majorHAnsi" w:hAnsiTheme="majorHAnsi"/>
                <w:vertAlign w:val="superscript"/>
              </w:rPr>
              <w:t>1</w:t>
            </w:r>
          </w:p>
          <w:p w14:paraId="0254A802" w14:textId="64FBA491"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w:t>
            </w:r>
            <w:r w:rsidR="00686212" w:rsidRPr="006A5F43">
              <w:rPr>
                <w:rFonts w:asciiTheme="majorHAnsi" w:hAnsiTheme="majorHAnsi"/>
              </w:rPr>
              <w:t>.</w:t>
            </w:r>
            <w:r w:rsidRPr="006A5F43">
              <w:rPr>
                <w:rFonts w:asciiTheme="majorHAnsi" w:hAnsiTheme="majorHAnsi"/>
              </w:rPr>
              <w:t>46</w:t>
            </w:r>
            <w:r w:rsidR="00686212" w:rsidRPr="006A5F43">
              <w:rPr>
                <w:rFonts w:asciiTheme="majorHAnsi" w:hAnsiTheme="majorHAnsi"/>
              </w:rPr>
              <w:t>%</w:t>
            </w:r>
          </w:p>
        </w:tc>
      </w:tr>
      <w:tr w:rsidR="00D556BD" w:rsidRPr="006A5F43" w14:paraId="5B3B7576"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0E75A6BD" w14:textId="416E5A91" w:rsidR="00D556BD" w:rsidRDefault="007A0F6A" w:rsidP="00442667">
            <w:pPr>
              <w:autoSpaceDE w:val="0"/>
              <w:autoSpaceDN w:val="0"/>
              <w:adjustRightInd w:val="0"/>
              <w:spacing w:after="120"/>
              <w:rPr>
                <w:rFonts w:asciiTheme="majorHAnsi" w:hAnsiTheme="majorHAnsi"/>
              </w:rPr>
            </w:pPr>
            <w:r>
              <w:rPr>
                <w:rFonts w:asciiTheme="majorHAnsi" w:hAnsiTheme="majorHAnsi"/>
              </w:rPr>
              <w:t>Received D-</w:t>
            </w:r>
            <w:proofErr w:type="spellStart"/>
            <w:r>
              <w:rPr>
                <w:rFonts w:asciiTheme="majorHAnsi" w:hAnsiTheme="majorHAnsi"/>
              </w:rPr>
              <w:t>P</w:t>
            </w:r>
            <w:r w:rsidR="00D556BD">
              <w:rPr>
                <w:rFonts w:asciiTheme="majorHAnsi" w:hAnsiTheme="majorHAnsi"/>
              </w:rPr>
              <w:t>enicillamine</w:t>
            </w:r>
            <w:proofErr w:type="spellEnd"/>
            <w:r>
              <w:rPr>
                <w:rFonts w:asciiTheme="majorHAnsi" w:hAnsiTheme="majorHAnsi"/>
              </w:rPr>
              <w:t xml:space="preserve"> N</w:t>
            </w:r>
            <w:r w:rsidRPr="007A0F6A">
              <w:rPr>
                <w:rFonts w:asciiTheme="majorHAnsi" w:hAnsiTheme="majorHAnsi"/>
                <w:vertAlign w:val="superscript"/>
              </w:rPr>
              <w:t>3</w:t>
            </w:r>
            <w:r>
              <w:rPr>
                <w:rFonts w:asciiTheme="majorHAnsi" w:hAnsiTheme="majorHAnsi"/>
              </w:rPr>
              <w:t>, %</w:t>
            </w:r>
          </w:p>
        </w:tc>
        <w:tc>
          <w:tcPr>
            <w:tcW w:w="438" w:type="pct"/>
            <w:tcBorders>
              <w:bottom w:val="single" w:sz="4" w:space="0" w:color="auto"/>
            </w:tcBorders>
          </w:tcPr>
          <w:p w14:paraId="51A15DDA"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103</w:t>
            </w:r>
          </w:p>
          <w:p w14:paraId="528A684A" w14:textId="5C035AA9"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48.54%</w:t>
            </w:r>
          </w:p>
        </w:tc>
        <w:tc>
          <w:tcPr>
            <w:tcW w:w="605" w:type="pct"/>
            <w:tcBorders>
              <w:bottom w:val="single" w:sz="4" w:space="0" w:color="auto"/>
            </w:tcBorders>
          </w:tcPr>
          <w:p w14:paraId="07B9E695"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76</w:t>
            </w:r>
          </w:p>
          <w:p w14:paraId="22CFD19A" w14:textId="114CA845"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55.26%</w:t>
            </w:r>
          </w:p>
        </w:tc>
        <w:tc>
          <w:tcPr>
            <w:tcW w:w="580" w:type="pct"/>
            <w:tcBorders>
              <w:bottom w:val="single" w:sz="4" w:space="0" w:color="auto"/>
            </w:tcBorders>
          </w:tcPr>
          <w:p w14:paraId="44E02BA5"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72</w:t>
            </w:r>
          </w:p>
          <w:p w14:paraId="19A8B7F2" w14:textId="0A6A7FCA"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52.78</w:t>
            </w:r>
            <w:r w:rsidR="009E0324">
              <w:rPr>
                <w:rFonts w:asciiTheme="majorHAnsi" w:hAnsiTheme="majorHAnsi"/>
              </w:rPr>
              <w:t>%</w:t>
            </w:r>
          </w:p>
        </w:tc>
        <w:tc>
          <w:tcPr>
            <w:tcW w:w="632" w:type="pct"/>
            <w:tcBorders>
              <w:bottom w:val="single" w:sz="4" w:space="0" w:color="auto"/>
            </w:tcBorders>
          </w:tcPr>
          <w:p w14:paraId="18E920AE"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35</w:t>
            </w:r>
          </w:p>
          <w:p w14:paraId="78A57ED3" w14:textId="449907A1"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51.43%</w:t>
            </w:r>
          </w:p>
        </w:tc>
        <w:tc>
          <w:tcPr>
            <w:tcW w:w="598" w:type="pct"/>
            <w:tcBorders>
              <w:bottom w:val="single" w:sz="4" w:space="0" w:color="auto"/>
            </w:tcBorders>
          </w:tcPr>
          <w:p w14:paraId="3DC677D7"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w:t>
            </w:r>
          </w:p>
          <w:p w14:paraId="7FFF6287" w14:textId="7B4BCB81"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w:t>
            </w:r>
          </w:p>
        </w:tc>
        <w:tc>
          <w:tcPr>
            <w:tcW w:w="607" w:type="pct"/>
            <w:tcBorders>
              <w:bottom w:val="single" w:sz="4" w:space="0" w:color="auto"/>
            </w:tcBorders>
          </w:tcPr>
          <w:p w14:paraId="66B560C7"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w:t>
            </w:r>
          </w:p>
          <w:p w14:paraId="0373DB3E" w14:textId="7D2EB154"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w:t>
            </w:r>
          </w:p>
        </w:tc>
        <w:tc>
          <w:tcPr>
            <w:tcW w:w="647" w:type="pct"/>
            <w:tcBorders>
              <w:bottom w:val="single" w:sz="4" w:space="0" w:color="auto"/>
            </w:tcBorders>
          </w:tcPr>
          <w:p w14:paraId="0355DC14" w14:textId="6F48E366"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310</w:t>
            </w:r>
            <w:r w:rsidRPr="00D556BD">
              <w:rPr>
                <w:rFonts w:asciiTheme="majorHAnsi" w:hAnsiTheme="majorHAnsi"/>
                <w:vertAlign w:val="superscript"/>
              </w:rPr>
              <w:t>1</w:t>
            </w:r>
          </w:p>
          <w:p w14:paraId="0EAE994A" w14:textId="4ED632DF"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50.65</w:t>
            </w:r>
            <w:r w:rsidR="009E0324">
              <w:rPr>
                <w:rFonts w:asciiTheme="majorHAnsi" w:hAnsiTheme="majorHAnsi"/>
              </w:rPr>
              <w:t>%</w:t>
            </w:r>
          </w:p>
        </w:tc>
      </w:tr>
      <w:tr w:rsidR="006A5F43" w:rsidRPr="006A5F43" w14:paraId="7EF6436D"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1FD0319D" w14:textId="71052A35" w:rsidR="006A5F43" w:rsidRPr="006A5F43" w:rsidRDefault="006A5F43" w:rsidP="00442667">
            <w:pPr>
              <w:autoSpaceDE w:val="0"/>
              <w:autoSpaceDN w:val="0"/>
              <w:adjustRightInd w:val="0"/>
              <w:spacing w:after="120"/>
              <w:rPr>
                <w:rFonts w:asciiTheme="majorHAnsi" w:hAnsiTheme="majorHAnsi"/>
              </w:rPr>
            </w:pPr>
            <w:r>
              <w:rPr>
                <w:rFonts w:asciiTheme="majorHAnsi" w:hAnsiTheme="majorHAnsi"/>
              </w:rPr>
              <w:t>Deaths</w:t>
            </w:r>
            <w:r w:rsidR="008F60A0">
              <w:rPr>
                <w:rFonts w:asciiTheme="majorHAnsi" w:hAnsiTheme="majorHAnsi"/>
              </w:rPr>
              <w:t xml:space="preserve"> </w:t>
            </w:r>
            <w:r w:rsidR="007A0F6A">
              <w:rPr>
                <w:rFonts w:asciiTheme="majorHAnsi" w:hAnsiTheme="majorHAnsi"/>
              </w:rPr>
              <w:t>N</w:t>
            </w:r>
            <w:r w:rsidR="007A0F6A" w:rsidRPr="007A0F6A">
              <w:rPr>
                <w:rFonts w:asciiTheme="majorHAnsi" w:hAnsiTheme="majorHAnsi"/>
                <w:vertAlign w:val="superscript"/>
              </w:rPr>
              <w:t>3</w:t>
            </w:r>
          </w:p>
        </w:tc>
        <w:tc>
          <w:tcPr>
            <w:tcW w:w="438" w:type="pct"/>
            <w:tcBorders>
              <w:bottom w:val="single" w:sz="4" w:space="0" w:color="auto"/>
            </w:tcBorders>
          </w:tcPr>
          <w:p w14:paraId="110C233D" w14:textId="45948643"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c>
          <w:tcPr>
            <w:tcW w:w="605" w:type="pct"/>
            <w:tcBorders>
              <w:bottom w:val="single" w:sz="4" w:space="0" w:color="auto"/>
            </w:tcBorders>
          </w:tcPr>
          <w:p w14:paraId="19B09CCD" w14:textId="6DEF8045"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w:t>
            </w:r>
          </w:p>
        </w:tc>
        <w:tc>
          <w:tcPr>
            <w:tcW w:w="580" w:type="pct"/>
            <w:tcBorders>
              <w:bottom w:val="single" w:sz="4" w:space="0" w:color="auto"/>
            </w:tcBorders>
          </w:tcPr>
          <w:p w14:paraId="277C1C72" w14:textId="1818BF4B"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53</w:t>
            </w:r>
          </w:p>
        </w:tc>
        <w:tc>
          <w:tcPr>
            <w:tcW w:w="632" w:type="pct"/>
            <w:tcBorders>
              <w:bottom w:val="single" w:sz="4" w:space="0" w:color="auto"/>
            </w:tcBorders>
          </w:tcPr>
          <w:p w14:paraId="5F5C0F30" w14:textId="086F6D33"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26</w:t>
            </w:r>
          </w:p>
        </w:tc>
        <w:tc>
          <w:tcPr>
            <w:tcW w:w="598" w:type="pct"/>
            <w:tcBorders>
              <w:bottom w:val="single" w:sz="4" w:space="0" w:color="auto"/>
            </w:tcBorders>
          </w:tcPr>
          <w:p w14:paraId="69BF931B" w14:textId="35BD05E9"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c>
          <w:tcPr>
            <w:tcW w:w="607" w:type="pct"/>
            <w:tcBorders>
              <w:bottom w:val="single" w:sz="4" w:space="0" w:color="auto"/>
            </w:tcBorders>
          </w:tcPr>
          <w:p w14:paraId="757B5782" w14:textId="2F9880F4"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w:t>
            </w:r>
          </w:p>
        </w:tc>
        <w:tc>
          <w:tcPr>
            <w:tcW w:w="647" w:type="pct"/>
            <w:tcBorders>
              <w:bottom w:val="single" w:sz="4" w:space="0" w:color="auto"/>
            </w:tcBorders>
          </w:tcPr>
          <w:p w14:paraId="17D91B3A" w14:textId="0897EB28"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161</w:t>
            </w:r>
          </w:p>
        </w:tc>
      </w:tr>
      <w:tr w:rsidR="0001345D" w:rsidRPr="006A5F43" w14:paraId="4EB81034" w14:textId="04BE182A" w:rsidTr="0001345D">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bottom w:val="nil"/>
              <w:right w:val="single" w:sz="4" w:space="0" w:color="auto"/>
            </w:tcBorders>
          </w:tcPr>
          <w:p w14:paraId="272CFE76" w14:textId="5680ACD9" w:rsidR="0001345D" w:rsidRPr="006A5F43" w:rsidRDefault="0001345D" w:rsidP="0001345D">
            <w:pPr>
              <w:autoSpaceDE w:val="0"/>
              <w:autoSpaceDN w:val="0"/>
              <w:adjustRightInd w:val="0"/>
              <w:spacing w:after="120"/>
              <w:rPr>
                <w:rFonts w:asciiTheme="majorHAnsi" w:hAnsiTheme="majorHAnsi"/>
              </w:rPr>
            </w:pPr>
            <w:r>
              <w:rPr>
                <w:rFonts w:asciiTheme="majorHAnsi" w:hAnsiTheme="majorHAnsi"/>
              </w:rPr>
              <w:t xml:space="preserve">Death Time Distribution </w:t>
            </w:r>
          </w:p>
        </w:tc>
        <w:tc>
          <w:tcPr>
            <w:tcW w:w="4107" w:type="pct"/>
            <w:gridSpan w:val="7"/>
            <w:tcBorders>
              <w:top w:val="single" w:sz="4" w:space="0" w:color="auto"/>
              <w:left w:val="single" w:sz="4" w:space="0" w:color="auto"/>
              <w:bottom w:val="nil"/>
            </w:tcBorders>
          </w:tcPr>
          <w:p w14:paraId="0BB1C906" w14:textId="2D5DF591" w:rsidR="0001345D" w:rsidRPr="006A5F43" w:rsidRDefault="0001345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Min – Max (0.112 – 11.474 years)</w:t>
            </w:r>
          </w:p>
        </w:tc>
      </w:tr>
      <w:tr w:rsidR="0001345D" w:rsidRPr="006A5F43" w14:paraId="7C4B1F95"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00AE147C" w14:textId="0EC4A425" w:rsidR="0001345D" w:rsidRDefault="0001345D" w:rsidP="00310603">
            <w:pPr>
              <w:autoSpaceDE w:val="0"/>
              <w:autoSpaceDN w:val="0"/>
              <w:adjustRightInd w:val="0"/>
              <w:spacing w:after="120"/>
              <w:rPr>
                <w:rFonts w:asciiTheme="majorHAnsi" w:hAnsiTheme="majorHAnsi"/>
              </w:rPr>
            </w:pPr>
            <w:r>
              <w:rPr>
                <w:rFonts w:asciiTheme="majorHAnsi" w:hAnsiTheme="majorHAnsi"/>
              </w:rPr>
              <w:t>Survival Pro</w:t>
            </w:r>
            <w:r w:rsidRPr="006A5F43">
              <w:rPr>
                <w:rFonts w:asciiTheme="majorHAnsi" w:hAnsiTheme="majorHAnsi"/>
              </w:rPr>
              <w:t>bability</w:t>
            </w:r>
            <w:r w:rsidRPr="00F95BDD">
              <w:rPr>
                <w:rFonts w:asciiTheme="majorHAnsi" w:hAnsiTheme="majorHAnsi"/>
                <w:vertAlign w:val="superscript"/>
              </w:rPr>
              <w:t>2</w:t>
            </w:r>
          </w:p>
        </w:tc>
        <w:tc>
          <w:tcPr>
            <w:tcW w:w="438" w:type="pct"/>
            <w:tcBorders>
              <w:top w:val="nil"/>
            </w:tcBorders>
          </w:tcPr>
          <w:p w14:paraId="31547A04"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5" w:type="pct"/>
            <w:tcBorders>
              <w:top w:val="nil"/>
            </w:tcBorders>
          </w:tcPr>
          <w:p w14:paraId="10D9C24D"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80" w:type="pct"/>
            <w:tcBorders>
              <w:top w:val="nil"/>
            </w:tcBorders>
          </w:tcPr>
          <w:p w14:paraId="0CFFB099"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32" w:type="pct"/>
            <w:tcBorders>
              <w:top w:val="nil"/>
            </w:tcBorders>
          </w:tcPr>
          <w:p w14:paraId="48268448"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98" w:type="pct"/>
            <w:tcBorders>
              <w:top w:val="nil"/>
            </w:tcBorders>
          </w:tcPr>
          <w:p w14:paraId="08ADA42D"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7" w:type="pct"/>
            <w:tcBorders>
              <w:top w:val="nil"/>
            </w:tcBorders>
          </w:tcPr>
          <w:p w14:paraId="087FFE42"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47" w:type="pct"/>
            <w:tcBorders>
              <w:top w:val="nil"/>
            </w:tcBorders>
          </w:tcPr>
          <w:p w14:paraId="3149EE63" w14:textId="77777777" w:rsidR="0001345D" w:rsidRPr="00184991" w:rsidRDefault="0001345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6A5F43" w:rsidRPr="006A5F43" w14:paraId="7E35D8DD" w14:textId="3E799368"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0FD0EDA6" w14:textId="48CDA3E9" w:rsidR="00E76566" w:rsidRPr="006A5F43" w:rsidRDefault="0001345D" w:rsidP="00310603">
            <w:pPr>
              <w:autoSpaceDE w:val="0"/>
              <w:autoSpaceDN w:val="0"/>
              <w:adjustRightInd w:val="0"/>
              <w:spacing w:after="120"/>
              <w:rPr>
                <w:rFonts w:asciiTheme="majorHAnsi" w:hAnsiTheme="majorHAnsi"/>
              </w:rPr>
            </w:pPr>
            <w:r>
              <w:rPr>
                <w:rFonts w:asciiTheme="majorHAnsi" w:hAnsiTheme="majorHAnsi"/>
              </w:rPr>
              <w:t>A</w:t>
            </w:r>
            <w:r w:rsidR="00310603">
              <w:rPr>
                <w:rFonts w:asciiTheme="majorHAnsi" w:hAnsiTheme="majorHAnsi"/>
              </w:rPr>
              <w:t xml:space="preserve">t </w:t>
            </w:r>
            <w:r w:rsidR="00F75FA3" w:rsidRPr="006A5F43">
              <w:rPr>
                <w:rFonts w:asciiTheme="majorHAnsi" w:hAnsiTheme="majorHAnsi"/>
              </w:rPr>
              <w:t>2 year</w:t>
            </w:r>
            <w:r w:rsidR="00310603">
              <w:rPr>
                <w:rFonts w:asciiTheme="majorHAnsi" w:hAnsiTheme="majorHAnsi"/>
              </w:rPr>
              <w:t>s</w:t>
            </w:r>
            <w:r w:rsidR="00F75FA3" w:rsidRPr="006A5F43">
              <w:rPr>
                <w:rFonts w:asciiTheme="majorHAnsi" w:hAnsiTheme="majorHAnsi"/>
              </w:rPr>
              <w:t xml:space="preserve"> </w:t>
            </w:r>
          </w:p>
        </w:tc>
        <w:tc>
          <w:tcPr>
            <w:tcW w:w="438" w:type="pct"/>
            <w:tcBorders>
              <w:top w:val="nil"/>
            </w:tcBorders>
          </w:tcPr>
          <w:p w14:paraId="5D39A835" w14:textId="6FFC5687" w:rsidR="00E76566" w:rsidRPr="006A5F43" w:rsidRDefault="00F75FA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96</w:t>
            </w:r>
            <w:r w:rsidR="009B4659" w:rsidRPr="006A5F43">
              <w:rPr>
                <w:rFonts w:asciiTheme="majorHAnsi" w:hAnsiTheme="majorHAnsi"/>
              </w:rPr>
              <w:t>.</w:t>
            </w:r>
            <w:r w:rsidRPr="006A5F43">
              <w:rPr>
                <w:rFonts w:asciiTheme="majorHAnsi" w:hAnsiTheme="majorHAnsi"/>
              </w:rPr>
              <w:t>47</w:t>
            </w:r>
            <w:r w:rsidR="009B4659" w:rsidRPr="006A5F43">
              <w:rPr>
                <w:rFonts w:asciiTheme="majorHAnsi" w:hAnsiTheme="majorHAnsi"/>
              </w:rPr>
              <w:t>%</w:t>
            </w:r>
          </w:p>
        </w:tc>
        <w:tc>
          <w:tcPr>
            <w:tcW w:w="605" w:type="pct"/>
            <w:tcBorders>
              <w:top w:val="nil"/>
            </w:tcBorders>
          </w:tcPr>
          <w:p w14:paraId="07F6EE39" w14:textId="16D3E8F4"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95</w:t>
            </w:r>
            <w:r w:rsidR="009B4659" w:rsidRPr="006A5F43">
              <w:rPr>
                <w:rFonts w:asciiTheme="majorHAnsi" w:hAnsiTheme="majorHAnsi"/>
              </w:rPr>
              <w:t>.</w:t>
            </w:r>
            <w:r w:rsidRPr="006A5F43">
              <w:rPr>
                <w:rFonts w:asciiTheme="majorHAnsi" w:hAnsiTheme="majorHAnsi"/>
              </w:rPr>
              <w:t>32</w:t>
            </w:r>
            <w:r w:rsidR="009B4659" w:rsidRPr="006A5F43">
              <w:rPr>
                <w:rFonts w:asciiTheme="majorHAnsi" w:hAnsiTheme="majorHAnsi"/>
              </w:rPr>
              <w:t>%</w:t>
            </w:r>
          </w:p>
        </w:tc>
        <w:tc>
          <w:tcPr>
            <w:tcW w:w="580" w:type="pct"/>
            <w:tcBorders>
              <w:top w:val="nil"/>
            </w:tcBorders>
          </w:tcPr>
          <w:p w14:paraId="706891B4" w14:textId="38152AC0"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83</w:t>
            </w:r>
            <w:r w:rsidR="009B4659" w:rsidRPr="006A5F43">
              <w:rPr>
                <w:rFonts w:asciiTheme="majorHAnsi" w:hAnsiTheme="majorHAnsi"/>
              </w:rPr>
              <w:t>.</w:t>
            </w:r>
            <w:r w:rsidRPr="006A5F43">
              <w:rPr>
                <w:rFonts w:asciiTheme="majorHAnsi" w:hAnsiTheme="majorHAnsi"/>
              </w:rPr>
              <w:t>52</w:t>
            </w:r>
            <w:r w:rsidR="009B4659" w:rsidRPr="006A5F43">
              <w:rPr>
                <w:rFonts w:asciiTheme="majorHAnsi" w:hAnsiTheme="majorHAnsi"/>
              </w:rPr>
              <w:t>%</w:t>
            </w:r>
          </w:p>
        </w:tc>
        <w:tc>
          <w:tcPr>
            <w:tcW w:w="632" w:type="pct"/>
            <w:tcBorders>
              <w:top w:val="nil"/>
            </w:tcBorders>
          </w:tcPr>
          <w:p w14:paraId="6B2049AF" w14:textId="797ABFEF"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79</w:t>
            </w:r>
            <w:r w:rsidR="009B4659" w:rsidRPr="006A5F43">
              <w:rPr>
                <w:rFonts w:asciiTheme="majorHAnsi" w:hAnsiTheme="majorHAnsi"/>
              </w:rPr>
              <w:t>.</w:t>
            </w:r>
            <w:r w:rsidRPr="006A5F43">
              <w:rPr>
                <w:rFonts w:asciiTheme="majorHAnsi" w:hAnsiTheme="majorHAnsi"/>
              </w:rPr>
              <w:t>07</w:t>
            </w:r>
            <w:r w:rsidR="009B4659" w:rsidRPr="006A5F43">
              <w:rPr>
                <w:rFonts w:asciiTheme="majorHAnsi" w:hAnsiTheme="majorHAnsi"/>
              </w:rPr>
              <w:t>%</w:t>
            </w:r>
          </w:p>
        </w:tc>
        <w:tc>
          <w:tcPr>
            <w:tcW w:w="598" w:type="pct"/>
            <w:tcBorders>
              <w:top w:val="nil"/>
            </w:tcBorders>
          </w:tcPr>
          <w:p w14:paraId="3466DCAE" w14:textId="7A7AA6D8"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54</w:t>
            </w:r>
            <w:r w:rsidR="009B4659" w:rsidRPr="006A5F43">
              <w:rPr>
                <w:rFonts w:asciiTheme="majorHAnsi" w:hAnsiTheme="majorHAnsi"/>
              </w:rPr>
              <w:t>.</w:t>
            </w:r>
            <w:r w:rsidRPr="006A5F43">
              <w:rPr>
                <w:rFonts w:asciiTheme="majorHAnsi" w:hAnsiTheme="majorHAnsi"/>
              </w:rPr>
              <w:t>55</w:t>
            </w:r>
            <w:r w:rsidR="009B4659" w:rsidRPr="006A5F43">
              <w:rPr>
                <w:rFonts w:asciiTheme="majorHAnsi" w:hAnsiTheme="majorHAnsi"/>
              </w:rPr>
              <w:t>%</w:t>
            </w:r>
          </w:p>
        </w:tc>
        <w:tc>
          <w:tcPr>
            <w:tcW w:w="607" w:type="pct"/>
            <w:tcBorders>
              <w:top w:val="nil"/>
            </w:tcBorders>
          </w:tcPr>
          <w:p w14:paraId="2AAEFF80" w14:textId="2452C25E"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53</w:t>
            </w:r>
            <w:r w:rsidR="009B4659" w:rsidRPr="006A5F43">
              <w:rPr>
                <w:rFonts w:asciiTheme="majorHAnsi" w:hAnsiTheme="majorHAnsi"/>
              </w:rPr>
              <w:t>.</w:t>
            </w:r>
            <w:r w:rsidRPr="006A5F43">
              <w:rPr>
                <w:rFonts w:asciiTheme="majorHAnsi" w:hAnsiTheme="majorHAnsi"/>
              </w:rPr>
              <w:t>85</w:t>
            </w:r>
            <w:r w:rsidR="009B4659" w:rsidRPr="006A5F43">
              <w:rPr>
                <w:rFonts w:asciiTheme="majorHAnsi" w:hAnsiTheme="majorHAnsi"/>
              </w:rPr>
              <w:t>%</w:t>
            </w:r>
          </w:p>
        </w:tc>
        <w:tc>
          <w:tcPr>
            <w:tcW w:w="647" w:type="pct"/>
            <w:tcBorders>
              <w:top w:val="nil"/>
            </w:tcBorders>
          </w:tcPr>
          <w:p w14:paraId="5918DC1E" w14:textId="32800709" w:rsidR="00E76566"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88</w:t>
            </w:r>
            <w:r>
              <w:rPr>
                <w:rFonts w:asciiTheme="majorHAnsi" w:hAnsiTheme="majorHAnsi"/>
              </w:rPr>
              <w:t>.</w:t>
            </w:r>
            <w:r w:rsidRPr="00184991">
              <w:rPr>
                <w:rFonts w:asciiTheme="majorHAnsi" w:hAnsiTheme="majorHAnsi"/>
              </w:rPr>
              <w:t>02</w:t>
            </w:r>
            <w:r>
              <w:rPr>
                <w:rFonts w:asciiTheme="majorHAnsi" w:hAnsiTheme="majorHAnsi"/>
              </w:rPr>
              <w:t>%</w:t>
            </w:r>
          </w:p>
        </w:tc>
      </w:tr>
      <w:tr w:rsidR="006A5F43" w:rsidRPr="006A5F43" w14:paraId="2E13FFCE" w14:textId="29C14DF5" w:rsidTr="0001345D">
        <w:tc>
          <w:tcPr>
            <w:cnfStyle w:val="001000000000" w:firstRow="0" w:lastRow="0" w:firstColumn="1" w:lastColumn="0" w:oddVBand="0" w:evenVBand="0" w:oddHBand="0" w:evenHBand="0" w:firstRowFirstColumn="0" w:firstRowLastColumn="0" w:lastRowFirstColumn="0" w:lastRowLastColumn="0"/>
            <w:tcW w:w="893" w:type="pct"/>
          </w:tcPr>
          <w:p w14:paraId="449E27DD" w14:textId="796E3841" w:rsidR="00E76566"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75FA3" w:rsidRPr="006A5F43">
              <w:rPr>
                <w:rFonts w:asciiTheme="majorHAnsi" w:hAnsiTheme="majorHAnsi"/>
              </w:rPr>
              <w:t>4 year</w:t>
            </w:r>
            <w:r>
              <w:rPr>
                <w:rFonts w:asciiTheme="majorHAnsi" w:hAnsiTheme="majorHAnsi"/>
              </w:rPr>
              <w:t>s</w:t>
            </w:r>
            <w:r w:rsidR="00F75FA3" w:rsidRPr="006A5F43">
              <w:rPr>
                <w:rFonts w:asciiTheme="majorHAnsi" w:hAnsiTheme="majorHAnsi"/>
              </w:rPr>
              <w:t xml:space="preserve"> </w:t>
            </w:r>
          </w:p>
        </w:tc>
        <w:tc>
          <w:tcPr>
            <w:tcW w:w="438" w:type="pct"/>
          </w:tcPr>
          <w:p w14:paraId="026C2826" w14:textId="54F240BC" w:rsidR="00E76566" w:rsidRPr="006A5F43" w:rsidRDefault="00F75FA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95</w:t>
            </w:r>
            <w:r w:rsidR="009B4659" w:rsidRPr="006A5F43">
              <w:rPr>
                <w:rFonts w:asciiTheme="majorHAnsi" w:hAnsiTheme="majorHAnsi"/>
              </w:rPr>
              <w:t>.</w:t>
            </w:r>
            <w:r w:rsidRPr="006A5F43">
              <w:rPr>
                <w:rFonts w:asciiTheme="majorHAnsi" w:hAnsiTheme="majorHAnsi"/>
              </w:rPr>
              <w:t>70</w:t>
            </w:r>
            <w:r w:rsidR="009B4659" w:rsidRPr="006A5F43">
              <w:rPr>
                <w:rFonts w:asciiTheme="majorHAnsi" w:hAnsiTheme="majorHAnsi"/>
              </w:rPr>
              <w:t>%</w:t>
            </w:r>
          </w:p>
        </w:tc>
        <w:tc>
          <w:tcPr>
            <w:tcW w:w="605" w:type="pct"/>
          </w:tcPr>
          <w:p w14:paraId="0A4CEBA3" w14:textId="01D7A07B"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87</w:t>
            </w:r>
            <w:r w:rsidR="009B4659" w:rsidRPr="006A5F43">
              <w:rPr>
                <w:rFonts w:asciiTheme="majorHAnsi" w:hAnsiTheme="majorHAnsi"/>
              </w:rPr>
              <w:t>.</w:t>
            </w:r>
            <w:r w:rsidRPr="006A5F43">
              <w:rPr>
                <w:rFonts w:asciiTheme="majorHAnsi" w:hAnsiTheme="majorHAnsi"/>
              </w:rPr>
              <w:t>11</w:t>
            </w:r>
            <w:r w:rsidR="009B4659" w:rsidRPr="006A5F43">
              <w:rPr>
                <w:rFonts w:asciiTheme="majorHAnsi" w:hAnsiTheme="majorHAnsi"/>
              </w:rPr>
              <w:t>%</w:t>
            </w:r>
          </w:p>
        </w:tc>
        <w:tc>
          <w:tcPr>
            <w:tcW w:w="580" w:type="pct"/>
          </w:tcPr>
          <w:p w14:paraId="0805D22A" w14:textId="37600D16"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65</w:t>
            </w:r>
            <w:r w:rsidR="009B4659" w:rsidRPr="006A5F43">
              <w:rPr>
                <w:rFonts w:asciiTheme="majorHAnsi" w:hAnsiTheme="majorHAnsi"/>
              </w:rPr>
              <w:t>.</w:t>
            </w:r>
            <w:r w:rsidRPr="006A5F43">
              <w:rPr>
                <w:rFonts w:asciiTheme="majorHAnsi" w:hAnsiTheme="majorHAnsi"/>
              </w:rPr>
              <w:t>90</w:t>
            </w:r>
            <w:r w:rsidR="009B4659" w:rsidRPr="006A5F43">
              <w:rPr>
                <w:rFonts w:asciiTheme="majorHAnsi" w:hAnsiTheme="majorHAnsi"/>
              </w:rPr>
              <w:t>%</w:t>
            </w:r>
          </w:p>
        </w:tc>
        <w:tc>
          <w:tcPr>
            <w:tcW w:w="632" w:type="pct"/>
          </w:tcPr>
          <w:p w14:paraId="3041D687" w14:textId="10DE9376"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43</w:t>
            </w:r>
            <w:r w:rsidR="009B4659" w:rsidRPr="006A5F43">
              <w:rPr>
                <w:rFonts w:asciiTheme="majorHAnsi" w:hAnsiTheme="majorHAnsi"/>
              </w:rPr>
              <w:t>.</w:t>
            </w:r>
            <w:r w:rsidRPr="006A5F43">
              <w:rPr>
                <w:rFonts w:asciiTheme="majorHAnsi" w:hAnsiTheme="majorHAnsi"/>
              </w:rPr>
              <w:t>32</w:t>
            </w:r>
            <w:r w:rsidR="009B4659" w:rsidRPr="006A5F43">
              <w:rPr>
                <w:rFonts w:asciiTheme="majorHAnsi" w:hAnsiTheme="majorHAnsi"/>
              </w:rPr>
              <w:t>%</w:t>
            </w:r>
          </w:p>
        </w:tc>
        <w:tc>
          <w:tcPr>
            <w:tcW w:w="598" w:type="pct"/>
          </w:tcPr>
          <w:p w14:paraId="7592FBCB" w14:textId="63EEA8F6"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18</w:t>
            </w:r>
            <w:r w:rsidR="009B4659" w:rsidRPr="006A5F43">
              <w:rPr>
                <w:rFonts w:asciiTheme="majorHAnsi" w:hAnsiTheme="majorHAnsi"/>
              </w:rPr>
              <w:t>.</w:t>
            </w:r>
            <w:r w:rsidRPr="006A5F43">
              <w:rPr>
                <w:rFonts w:asciiTheme="majorHAnsi" w:hAnsiTheme="majorHAnsi"/>
              </w:rPr>
              <w:t>18</w:t>
            </w:r>
            <w:r w:rsidR="009B4659" w:rsidRPr="006A5F43">
              <w:rPr>
                <w:rFonts w:asciiTheme="majorHAnsi" w:hAnsiTheme="majorHAnsi"/>
              </w:rPr>
              <w:t>%</w:t>
            </w:r>
          </w:p>
        </w:tc>
        <w:tc>
          <w:tcPr>
            <w:tcW w:w="607" w:type="pct"/>
          </w:tcPr>
          <w:p w14:paraId="28745562" w14:textId="21908773"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w:t>
            </w:r>
            <w:r w:rsidR="009B4659" w:rsidRPr="006A5F43">
              <w:rPr>
                <w:rFonts w:asciiTheme="majorHAnsi" w:hAnsiTheme="majorHAnsi"/>
              </w:rPr>
              <w:t>.</w:t>
            </w:r>
            <w:r w:rsidRPr="006A5F43">
              <w:rPr>
                <w:rFonts w:asciiTheme="majorHAnsi" w:hAnsiTheme="majorHAnsi"/>
              </w:rPr>
              <w:t>69</w:t>
            </w:r>
            <w:r w:rsidR="009B4659" w:rsidRPr="006A5F43">
              <w:rPr>
                <w:rFonts w:asciiTheme="majorHAnsi" w:hAnsiTheme="majorHAnsi"/>
              </w:rPr>
              <w:t>%</w:t>
            </w:r>
          </w:p>
        </w:tc>
        <w:tc>
          <w:tcPr>
            <w:tcW w:w="647" w:type="pct"/>
          </w:tcPr>
          <w:p w14:paraId="77D8686C" w14:textId="3429B041" w:rsidR="00E76566"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75</w:t>
            </w:r>
            <w:r>
              <w:rPr>
                <w:rFonts w:asciiTheme="majorHAnsi" w:hAnsiTheme="majorHAnsi"/>
              </w:rPr>
              <w:t>.</w:t>
            </w:r>
            <w:r w:rsidRPr="00184991">
              <w:rPr>
                <w:rFonts w:asciiTheme="majorHAnsi" w:hAnsiTheme="majorHAnsi"/>
              </w:rPr>
              <w:t>16</w:t>
            </w:r>
            <w:r>
              <w:rPr>
                <w:rFonts w:asciiTheme="majorHAnsi" w:hAnsiTheme="majorHAnsi"/>
              </w:rPr>
              <w:t>%</w:t>
            </w:r>
          </w:p>
        </w:tc>
      </w:tr>
      <w:tr w:rsidR="006A5F43" w:rsidRPr="006A5F43" w14:paraId="6D23026E" w14:textId="442AEED2" w:rsidTr="0001345D">
        <w:tc>
          <w:tcPr>
            <w:cnfStyle w:val="001000000000" w:firstRow="0" w:lastRow="0" w:firstColumn="1" w:lastColumn="0" w:oddVBand="0" w:evenVBand="0" w:oddHBand="0" w:evenHBand="0" w:firstRowFirstColumn="0" w:firstRowLastColumn="0" w:lastRowFirstColumn="0" w:lastRowLastColumn="0"/>
            <w:tcW w:w="893" w:type="pct"/>
          </w:tcPr>
          <w:p w14:paraId="68F2E909" w14:textId="357ABA39" w:rsidR="00E76566"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75FA3" w:rsidRPr="006A5F43">
              <w:rPr>
                <w:rFonts w:asciiTheme="majorHAnsi" w:hAnsiTheme="majorHAnsi"/>
              </w:rPr>
              <w:t>6 year</w:t>
            </w:r>
            <w:r>
              <w:rPr>
                <w:rFonts w:asciiTheme="majorHAnsi" w:hAnsiTheme="majorHAnsi"/>
              </w:rPr>
              <w:t>s</w:t>
            </w:r>
            <w:r w:rsidR="00F75FA3" w:rsidRPr="006A5F43">
              <w:rPr>
                <w:rFonts w:asciiTheme="majorHAnsi" w:hAnsiTheme="majorHAnsi"/>
              </w:rPr>
              <w:t xml:space="preserve"> </w:t>
            </w:r>
          </w:p>
        </w:tc>
        <w:tc>
          <w:tcPr>
            <w:tcW w:w="438" w:type="pct"/>
          </w:tcPr>
          <w:p w14:paraId="49E2FAF3" w14:textId="3E3BBEA5" w:rsidR="00E76566" w:rsidRPr="006A5F43" w:rsidRDefault="00F75FA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89</w:t>
            </w:r>
            <w:r w:rsidR="009B4659" w:rsidRPr="006A5F43">
              <w:rPr>
                <w:rFonts w:asciiTheme="majorHAnsi" w:hAnsiTheme="majorHAnsi"/>
              </w:rPr>
              <w:t>.</w:t>
            </w:r>
            <w:r w:rsidRPr="006A5F43">
              <w:rPr>
                <w:rFonts w:asciiTheme="majorHAnsi" w:hAnsiTheme="majorHAnsi"/>
              </w:rPr>
              <w:t>95</w:t>
            </w:r>
            <w:r w:rsidR="009B4659" w:rsidRPr="006A5F43">
              <w:rPr>
                <w:rFonts w:asciiTheme="majorHAnsi" w:hAnsiTheme="majorHAnsi"/>
              </w:rPr>
              <w:t>%</w:t>
            </w:r>
          </w:p>
        </w:tc>
        <w:tc>
          <w:tcPr>
            <w:tcW w:w="605" w:type="pct"/>
          </w:tcPr>
          <w:p w14:paraId="23C21FB6" w14:textId="19B24C76"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79</w:t>
            </w:r>
            <w:r w:rsidR="009B4659" w:rsidRPr="006A5F43">
              <w:rPr>
                <w:rFonts w:asciiTheme="majorHAnsi" w:hAnsiTheme="majorHAnsi"/>
              </w:rPr>
              <w:t>.</w:t>
            </w:r>
            <w:r w:rsidRPr="006A5F43">
              <w:rPr>
                <w:rFonts w:asciiTheme="majorHAnsi" w:hAnsiTheme="majorHAnsi"/>
              </w:rPr>
              <w:t>15</w:t>
            </w:r>
            <w:r w:rsidR="009B4659" w:rsidRPr="006A5F43">
              <w:rPr>
                <w:rFonts w:asciiTheme="majorHAnsi" w:hAnsiTheme="majorHAnsi"/>
              </w:rPr>
              <w:t>%</w:t>
            </w:r>
          </w:p>
        </w:tc>
        <w:tc>
          <w:tcPr>
            <w:tcW w:w="580" w:type="pct"/>
          </w:tcPr>
          <w:p w14:paraId="09A9E29C" w14:textId="088512AB"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49</w:t>
            </w:r>
            <w:r w:rsidR="009B4659" w:rsidRPr="006A5F43">
              <w:rPr>
                <w:rFonts w:asciiTheme="majorHAnsi" w:hAnsiTheme="majorHAnsi"/>
              </w:rPr>
              <w:t>.</w:t>
            </w:r>
            <w:r w:rsidRPr="006A5F43">
              <w:rPr>
                <w:rFonts w:asciiTheme="majorHAnsi" w:hAnsiTheme="majorHAnsi"/>
              </w:rPr>
              <w:t>24</w:t>
            </w:r>
            <w:r w:rsidR="009B4659" w:rsidRPr="006A5F43">
              <w:rPr>
                <w:rFonts w:asciiTheme="majorHAnsi" w:hAnsiTheme="majorHAnsi"/>
              </w:rPr>
              <w:t>%</w:t>
            </w:r>
          </w:p>
        </w:tc>
        <w:tc>
          <w:tcPr>
            <w:tcW w:w="632" w:type="pct"/>
          </w:tcPr>
          <w:p w14:paraId="088F11A1" w14:textId="0E03814B"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29</w:t>
            </w:r>
            <w:r w:rsidR="009B4659" w:rsidRPr="006A5F43">
              <w:rPr>
                <w:rFonts w:asciiTheme="majorHAnsi" w:hAnsiTheme="majorHAnsi"/>
              </w:rPr>
              <w:t>.</w:t>
            </w:r>
            <w:r w:rsidRPr="006A5F43">
              <w:rPr>
                <w:rFonts w:asciiTheme="majorHAnsi" w:hAnsiTheme="majorHAnsi"/>
              </w:rPr>
              <w:t>70</w:t>
            </w:r>
            <w:r w:rsidR="009B4659" w:rsidRPr="006A5F43">
              <w:rPr>
                <w:rFonts w:asciiTheme="majorHAnsi" w:hAnsiTheme="majorHAnsi"/>
              </w:rPr>
              <w:t>%</w:t>
            </w:r>
          </w:p>
        </w:tc>
        <w:tc>
          <w:tcPr>
            <w:tcW w:w="598" w:type="pct"/>
          </w:tcPr>
          <w:p w14:paraId="020B4AFF" w14:textId="6E8ECE7D"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13</w:t>
            </w:r>
            <w:r w:rsidR="009B4659" w:rsidRPr="006A5F43">
              <w:rPr>
                <w:rFonts w:asciiTheme="majorHAnsi" w:hAnsiTheme="majorHAnsi"/>
              </w:rPr>
              <w:t>.</w:t>
            </w:r>
            <w:r w:rsidRPr="006A5F43">
              <w:rPr>
                <w:rFonts w:asciiTheme="majorHAnsi" w:hAnsiTheme="majorHAnsi"/>
              </w:rPr>
              <w:t>64</w:t>
            </w:r>
            <w:r w:rsidR="009B4659" w:rsidRPr="006A5F43">
              <w:rPr>
                <w:rFonts w:asciiTheme="majorHAnsi" w:hAnsiTheme="majorHAnsi"/>
              </w:rPr>
              <w:t>%</w:t>
            </w:r>
          </w:p>
        </w:tc>
        <w:tc>
          <w:tcPr>
            <w:tcW w:w="607" w:type="pct"/>
          </w:tcPr>
          <w:p w14:paraId="16425FA3" w14:textId="4B5584D7"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w:t>
            </w:r>
            <w:r w:rsidR="009B4659" w:rsidRPr="006A5F43">
              <w:rPr>
                <w:rFonts w:asciiTheme="majorHAnsi" w:hAnsiTheme="majorHAnsi"/>
              </w:rPr>
              <w:t>.</w:t>
            </w:r>
            <w:r w:rsidRPr="006A5F43">
              <w:rPr>
                <w:rFonts w:asciiTheme="majorHAnsi" w:hAnsiTheme="majorHAnsi"/>
              </w:rPr>
              <w:t>69</w:t>
            </w:r>
            <w:r w:rsidR="009B4659" w:rsidRPr="006A5F43">
              <w:rPr>
                <w:rFonts w:asciiTheme="majorHAnsi" w:hAnsiTheme="majorHAnsi"/>
              </w:rPr>
              <w:t>%</w:t>
            </w:r>
          </w:p>
        </w:tc>
        <w:tc>
          <w:tcPr>
            <w:tcW w:w="647" w:type="pct"/>
          </w:tcPr>
          <w:p w14:paraId="3E18C43B" w14:textId="75D38FB0" w:rsidR="00E76566"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66</w:t>
            </w:r>
            <w:r>
              <w:rPr>
                <w:rFonts w:asciiTheme="majorHAnsi" w:hAnsiTheme="majorHAnsi"/>
              </w:rPr>
              <w:t>.</w:t>
            </w:r>
            <w:r w:rsidRPr="00184991">
              <w:rPr>
                <w:rFonts w:asciiTheme="majorHAnsi" w:hAnsiTheme="majorHAnsi"/>
              </w:rPr>
              <w:t>43</w:t>
            </w:r>
            <w:r>
              <w:rPr>
                <w:rFonts w:asciiTheme="majorHAnsi" w:hAnsiTheme="majorHAnsi"/>
              </w:rPr>
              <w:t>%</w:t>
            </w:r>
          </w:p>
        </w:tc>
      </w:tr>
      <w:tr w:rsidR="00F95BDD" w:rsidRPr="006A5F43" w14:paraId="313D049A" w14:textId="572CF262" w:rsidTr="0001345D">
        <w:tc>
          <w:tcPr>
            <w:cnfStyle w:val="001000000000" w:firstRow="0" w:lastRow="0" w:firstColumn="1" w:lastColumn="0" w:oddVBand="0" w:evenVBand="0" w:oddHBand="0" w:evenHBand="0" w:firstRowFirstColumn="0" w:firstRowLastColumn="0" w:lastRowFirstColumn="0" w:lastRowLastColumn="0"/>
            <w:tcW w:w="893" w:type="pct"/>
          </w:tcPr>
          <w:p w14:paraId="00CC1FEB" w14:textId="3E7934A4" w:rsidR="00F95BDD"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95BDD" w:rsidRPr="006A5F43">
              <w:rPr>
                <w:rFonts w:asciiTheme="majorHAnsi" w:hAnsiTheme="majorHAnsi"/>
              </w:rPr>
              <w:t>8 year</w:t>
            </w:r>
            <w:r>
              <w:rPr>
                <w:rFonts w:asciiTheme="majorHAnsi" w:hAnsiTheme="majorHAnsi"/>
              </w:rPr>
              <w:t>s</w:t>
            </w:r>
            <w:r w:rsidR="00F95BDD" w:rsidRPr="006A5F43">
              <w:rPr>
                <w:rFonts w:asciiTheme="majorHAnsi" w:hAnsiTheme="majorHAnsi"/>
              </w:rPr>
              <w:t xml:space="preserve"> </w:t>
            </w:r>
          </w:p>
        </w:tc>
        <w:tc>
          <w:tcPr>
            <w:tcW w:w="438" w:type="pct"/>
          </w:tcPr>
          <w:p w14:paraId="31F1339E" w14:textId="1FA5C26F"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83.34%</w:t>
            </w:r>
          </w:p>
        </w:tc>
        <w:tc>
          <w:tcPr>
            <w:tcW w:w="605" w:type="pct"/>
          </w:tcPr>
          <w:p w14:paraId="0D56058D" w14:textId="777B5388"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63.57%</w:t>
            </w:r>
          </w:p>
        </w:tc>
        <w:tc>
          <w:tcPr>
            <w:tcW w:w="580" w:type="pct"/>
          </w:tcPr>
          <w:p w14:paraId="7381AC8B" w14:textId="076D1AC2"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41.48%</w:t>
            </w:r>
          </w:p>
        </w:tc>
        <w:tc>
          <w:tcPr>
            <w:tcW w:w="632" w:type="pct"/>
          </w:tcPr>
          <w:p w14:paraId="770AA6C9" w14:textId="5F34575A"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18.56%</w:t>
            </w:r>
          </w:p>
        </w:tc>
        <w:tc>
          <w:tcPr>
            <w:tcW w:w="598" w:type="pct"/>
          </w:tcPr>
          <w:p w14:paraId="332156D2" w14:textId="65BEC9C8"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607" w:type="pct"/>
          </w:tcPr>
          <w:p w14:paraId="58FF084E" w14:textId="3EDC07A4"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F7003">
              <w:rPr>
                <w:rFonts w:asciiTheme="majorHAnsi" w:hAnsiTheme="majorHAnsi"/>
              </w:rPr>
              <w:t>NA</w:t>
            </w:r>
            <w:r w:rsidRPr="00EF7003">
              <w:rPr>
                <w:rFonts w:asciiTheme="majorHAnsi" w:hAnsiTheme="majorHAnsi"/>
                <w:vertAlign w:val="superscript"/>
              </w:rPr>
              <w:t>2</w:t>
            </w:r>
          </w:p>
        </w:tc>
        <w:tc>
          <w:tcPr>
            <w:tcW w:w="647" w:type="pct"/>
          </w:tcPr>
          <w:p w14:paraId="725B8977" w14:textId="4E31BAD5" w:rsidR="00F95BDD"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56</w:t>
            </w:r>
            <w:r>
              <w:rPr>
                <w:rFonts w:asciiTheme="majorHAnsi" w:hAnsiTheme="majorHAnsi"/>
              </w:rPr>
              <w:t>.</w:t>
            </w:r>
            <w:r w:rsidRPr="00184991">
              <w:rPr>
                <w:rFonts w:asciiTheme="majorHAnsi" w:hAnsiTheme="majorHAnsi"/>
              </w:rPr>
              <w:t>89</w:t>
            </w:r>
            <w:r>
              <w:rPr>
                <w:rFonts w:asciiTheme="majorHAnsi" w:hAnsiTheme="majorHAnsi"/>
              </w:rPr>
              <w:t>%</w:t>
            </w:r>
          </w:p>
        </w:tc>
      </w:tr>
      <w:tr w:rsidR="00F95BDD" w:rsidRPr="006A5F43" w14:paraId="2332E914" w14:textId="3CB5A1B4" w:rsidTr="0001345D">
        <w:tc>
          <w:tcPr>
            <w:cnfStyle w:val="001000000000" w:firstRow="0" w:lastRow="0" w:firstColumn="1" w:lastColumn="0" w:oddVBand="0" w:evenVBand="0" w:oddHBand="0" w:evenHBand="0" w:firstRowFirstColumn="0" w:firstRowLastColumn="0" w:lastRowFirstColumn="0" w:lastRowLastColumn="0"/>
            <w:tcW w:w="893" w:type="pct"/>
          </w:tcPr>
          <w:p w14:paraId="310B73CD" w14:textId="48B95CF3" w:rsidR="00F95BDD"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95BDD" w:rsidRPr="006A5F43">
              <w:rPr>
                <w:rFonts w:asciiTheme="majorHAnsi" w:hAnsiTheme="majorHAnsi"/>
              </w:rPr>
              <w:t>10 year</w:t>
            </w:r>
            <w:r>
              <w:rPr>
                <w:rFonts w:asciiTheme="majorHAnsi" w:hAnsiTheme="majorHAnsi"/>
              </w:rPr>
              <w:t>s</w:t>
            </w:r>
            <w:r w:rsidR="00F95BDD" w:rsidRPr="006A5F43">
              <w:rPr>
                <w:rFonts w:asciiTheme="majorHAnsi" w:hAnsiTheme="majorHAnsi"/>
              </w:rPr>
              <w:t xml:space="preserve"> </w:t>
            </w:r>
          </w:p>
        </w:tc>
        <w:tc>
          <w:tcPr>
            <w:tcW w:w="438" w:type="pct"/>
          </w:tcPr>
          <w:p w14:paraId="1F664143" w14:textId="0699CAF8"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76.33%</w:t>
            </w:r>
          </w:p>
        </w:tc>
        <w:tc>
          <w:tcPr>
            <w:tcW w:w="605" w:type="pct"/>
          </w:tcPr>
          <w:p w14:paraId="30E26D40" w14:textId="22D358FD"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53.85%</w:t>
            </w:r>
          </w:p>
        </w:tc>
        <w:tc>
          <w:tcPr>
            <w:tcW w:w="580" w:type="pct"/>
          </w:tcPr>
          <w:p w14:paraId="386026B2" w14:textId="141BDBFC"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11.67%</w:t>
            </w:r>
          </w:p>
        </w:tc>
        <w:tc>
          <w:tcPr>
            <w:tcW w:w="632" w:type="pct"/>
          </w:tcPr>
          <w:p w14:paraId="0D697F49" w14:textId="397F1247"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598" w:type="pct"/>
          </w:tcPr>
          <w:p w14:paraId="78E2449D" w14:textId="6EA5ECC9"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E409D">
              <w:rPr>
                <w:rFonts w:asciiTheme="majorHAnsi" w:hAnsiTheme="majorHAnsi"/>
              </w:rPr>
              <w:t>NA</w:t>
            </w:r>
            <w:r w:rsidRPr="005E409D">
              <w:rPr>
                <w:rFonts w:asciiTheme="majorHAnsi" w:hAnsiTheme="majorHAnsi"/>
                <w:vertAlign w:val="superscript"/>
              </w:rPr>
              <w:t>2</w:t>
            </w:r>
          </w:p>
        </w:tc>
        <w:tc>
          <w:tcPr>
            <w:tcW w:w="607" w:type="pct"/>
          </w:tcPr>
          <w:p w14:paraId="37DE62AF" w14:textId="0C87BEC2"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F7003">
              <w:rPr>
                <w:rFonts w:asciiTheme="majorHAnsi" w:hAnsiTheme="majorHAnsi"/>
              </w:rPr>
              <w:t>NA</w:t>
            </w:r>
            <w:r w:rsidRPr="00EF7003">
              <w:rPr>
                <w:rFonts w:asciiTheme="majorHAnsi" w:hAnsiTheme="majorHAnsi"/>
                <w:vertAlign w:val="superscript"/>
              </w:rPr>
              <w:t>2</w:t>
            </w:r>
          </w:p>
        </w:tc>
        <w:tc>
          <w:tcPr>
            <w:tcW w:w="647" w:type="pct"/>
          </w:tcPr>
          <w:p w14:paraId="1F093974" w14:textId="5F547322" w:rsidR="00F95BDD"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44</w:t>
            </w:r>
            <w:r>
              <w:rPr>
                <w:rFonts w:asciiTheme="majorHAnsi" w:hAnsiTheme="majorHAnsi"/>
              </w:rPr>
              <w:t>.</w:t>
            </w:r>
            <w:r w:rsidRPr="00184991">
              <w:rPr>
                <w:rFonts w:asciiTheme="majorHAnsi" w:hAnsiTheme="majorHAnsi"/>
              </w:rPr>
              <w:t>22</w:t>
            </w:r>
            <w:r>
              <w:rPr>
                <w:rFonts w:asciiTheme="majorHAnsi" w:hAnsiTheme="majorHAnsi"/>
              </w:rPr>
              <w:t>%</w:t>
            </w:r>
          </w:p>
        </w:tc>
      </w:tr>
      <w:tr w:rsidR="00F95BDD" w:rsidRPr="006A5F43" w14:paraId="6E0470DC" w14:textId="3FEDE06C" w:rsidTr="0001345D">
        <w:tc>
          <w:tcPr>
            <w:cnfStyle w:val="001000000000" w:firstRow="0" w:lastRow="0" w:firstColumn="1" w:lastColumn="0" w:oddVBand="0" w:evenVBand="0" w:oddHBand="0" w:evenHBand="0" w:firstRowFirstColumn="0" w:firstRowLastColumn="0" w:lastRowFirstColumn="0" w:lastRowLastColumn="0"/>
            <w:tcW w:w="893" w:type="pct"/>
          </w:tcPr>
          <w:p w14:paraId="1C45F5C9" w14:textId="4B8E51B2" w:rsidR="00F95BDD"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95BDD" w:rsidRPr="006A5F43">
              <w:rPr>
                <w:rFonts w:asciiTheme="majorHAnsi" w:hAnsiTheme="majorHAnsi"/>
              </w:rPr>
              <w:t>12 year</w:t>
            </w:r>
            <w:r>
              <w:rPr>
                <w:rFonts w:asciiTheme="majorHAnsi" w:hAnsiTheme="majorHAnsi"/>
              </w:rPr>
              <w:t>s</w:t>
            </w:r>
            <w:r w:rsidR="00F95BDD" w:rsidRPr="006A5F43">
              <w:rPr>
                <w:rFonts w:asciiTheme="majorHAnsi" w:hAnsiTheme="majorHAnsi"/>
              </w:rPr>
              <w:t xml:space="preserve"> </w:t>
            </w:r>
          </w:p>
        </w:tc>
        <w:tc>
          <w:tcPr>
            <w:tcW w:w="438" w:type="pct"/>
          </w:tcPr>
          <w:p w14:paraId="42F2EF72" w14:textId="72D03B69"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70.88%</w:t>
            </w:r>
          </w:p>
        </w:tc>
        <w:tc>
          <w:tcPr>
            <w:tcW w:w="605" w:type="pct"/>
          </w:tcPr>
          <w:p w14:paraId="7CD8B091" w14:textId="0040AAB5"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44.88%</w:t>
            </w:r>
          </w:p>
        </w:tc>
        <w:tc>
          <w:tcPr>
            <w:tcW w:w="580" w:type="pct"/>
          </w:tcPr>
          <w:p w14:paraId="6DD222B7" w14:textId="6EDA1907"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3.89%</w:t>
            </w:r>
          </w:p>
        </w:tc>
        <w:tc>
          <w:tcPr>
            <w:tcW w:w="632" w:type="pct"/>
          </w:tcPr>
          <w:p w14:paraId="22816011" w14:textId="60CF8531"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598" w:type="pct"/>
          </w:tcPr>
          <w:p w14:paraId="16C8C338" w14:textId="509D30E7"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E409D">
              <w:rPr>
                <w:rFonts w:asciiTheme="majorHAnsi" w:hAnsiTheme="majorHAnsi"/>
              </w:rPr>
              <w:t>NA</w:t>
            </w:r>
            <w:r w:rsidRPr="005E409D">
              <w:rPr>
                <w:rFonts w:asciiTheme="majorHAnsi" w:hAnsiTheme="majorHAnsi"/>
                <w:vertAlign w:val="superscript"/>
              </w:rPr>
              <w:t>2</w:t>
            </w:r>
          </w:p>
        </w:tc>
        <w:tc>
          <w:tcPr>
            <w:tcW w:w="607" w:type="pct"/>
          </w:tcPr>
          <w:p w14:paraId="7026A0E4" w14:textId="7FA39CB6"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F7003">
              <w:rPr>
                <w:rFonts w:asciiTheme="majorHAnsi" w:hAnsiTheme="majorHAnsi"/>
              </w:rPr>
              <w:t>NA</w:t>
            </w:r>
            <w:r w:rsidRPr="00EF7003">
              <w:rPr>
                <w:rFonts w:asciiTheme="majorHAnsi" w:hAnsiTheme="majorHAnsi"/>
                <w:vertAlign w:val="superscript"/>
              </w:rPr>
              <w:t>2</w:t>
            </w:r>
          </w:p>
        </w:tc>
        <w:tc>
          <w:tcPr>
            <w:tcW w:w="647" w:type="pct"/>
          </w:tcPr>
          <w:p w14:paraId="23C75B70" w14:textId="2F044308" w:rsidR="00F95BDD"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35</w:t>
            </w:r>
            <w:r>
              <w:rPr>
                <w:rFonts w:asciiTheme="majorHAnsi" w:hAnsiTheme="majorHAnsi"/>
              </w:rPr>
              <w:t>.</w:t>
            </w:r>
            <w:r w:rsidRPr="00184991">
              <w:rPr>
                <w:rFonts w:asciiTheme="majorHAnsi" w:hAnsiTheme="majorHAnsi"/>
              </w:rPr>
              <w:t>34</w:t>
            </w:r>
            <w:r>
              <w:rPr>
                <w:rFonts w:asciiTheme="majorHAnsi" w:hAnsiTheme="majorHAnsi"/>
              </w:rPr>
              <w:t>%</w:t>
            </w:r>
          </w:p>
        </w:tc>
      </w:tr>
      <w:tr w:rsidR="00214E39" w:rsidRPr="006A5F43" w14:paraId="42389EC6"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40F5405E" w14:textId="50525DCC" w:rsidR="00214E39" w:rsidRDefault="00214E39" w:rsidP="00310603">
            <w:pPr>
              <w:autoSpaceDE w:val="0"/>
              <w:autoSpaceDN w:val="0"/>
              <w:adjustRightInd w:val="0"/>
              <w:spacing w:after="120"/>
              <w:rPr>
                <w:rFonts w:asciiTheme="majorHAnsi" w:hAnsiTheme="majorHAnsi"/>
              </w:rPr>
            </w:pPr>
            <w:r>
              <w:rPr>
                <w:rFonts w:asciiTheme="majorHAnsi" w:hAnsiTheme="majorHAnsi"/>
              </w:rPr>
              <w:t>25</w:t>
            </w:r>
            <w:r w:rsidRPr="00214E39">
              <w:rPr>
                <w:rFonts w:asciiTheme="majorHAnsi" w:hAnsiTheme="majorHAnsi"/>
                <w:vertAlign w:val="superscript"/>
              </w:rPr>
              <w:t>th</w:t>
            </w:r>
            <w:r>
              <w:rPr>
                <w:rFonts w:asciiTheme="majorHAnsi" w:hAnsiTheme="majorHAnsi"/>
              </w:rPr>
              <w:t xml:space="preserve"> percentile</w:t>
            </w:r>
            <w:r w:rsidR="004133B4" w:rsidRPr="004133B4">
              <w:rPr>
                <w:rFonts w:asciiTheme="majorHAnsi" w:hAnsiTheme="majorHAnsi"/>
                <w:vertAlign w:val="superscript"/>
              </w:rPr>
              <w:t>2</w:t>
            </w:r>
            <w:r>
              <w:rPr>
                <w:rFonts w:asciiTheme="majorHAnsi" w:hAnsiTheme="majorHAnsi"/>
              </w:rPr>
              <w:t xml:space="preserve"> </w:t>
            </w:r>
          </w:p>
        </w:tc>
        <w:tc>
          <w:tcPr>
            <w:tcW w:w="438" w:type="pct"/>
          </w:tcPr>
          <w:p w14:paraId="1BB32F0E" w14:textId="63719A0A" w:rsidR="00214E39"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10.54</w:t>
            </w:r>
            <w:r>
              <w:rPr>
                <w:rFonts w:asciiTheme="majorHAnsi" w:hAnsiTheme="majorHAnsi"/>
              </w:rPr>
              <w:t>9</w:t>
            </w:r>
          </w:p>
        </w:tc>
        <w:tc>
          <w:tcPr>
            <w:tcW w:w="605" w:type="pct"/>
          </w:tcPr>
          <w:p w14:paraId="4420E03C" w14:textId="46BA62CC" w:rsidR="00214E39"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7.11</w:t>
            </w:r>
            <w:r>
              <w:rPr>
                <w:rFonts w:asciiTheme="majorHAnsi" w:hAnsiTheme="majorHAnsi"/>
              </w:rPr>
              <w:t>3</w:t>
            </w:r>
          </w:p>
        </w:tc>
        <w:tc>
          <w:tcPr>
            <w:tcW w:w="580" w:type="pct"/>
          </w:tcPr>
          <w:p w14:paraId="3C4747D2" w14:textId="19C9C911" w:rsidR="00214E39"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2.560</w:t>
            </w:r>
          </w:p>
        </w:tc>
        <w:tc>
          <w:tcPr>
            <w:tcW w:w="632" w:type="pct"/>
          </w:tcPr>
          <w:p w14:paraId="159B1DF5" w14:textId="01D20279" w:rsidR="00214E39"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2.546</w:t>
            </w:r>
          </w:p>
        </w:tc>
        <w:tc>
          <w:tcPr>
            <w:tcW w:w="598" w:type="pct"/>
          </w:tcPr>
          <w:p w14:paraId="7AD8EB3C" w14:textId="402470F9" w:rsidR="00214E39" w:rsidRPr="005E409D"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 xml:space="preserve"> </w:t>
            </w:r>
            <w:r>
              <w:rPr>
                <w:rFonts w:asciiTheme="majorHAnsi" w:hAnsiTheme="majorHAnsi"/>
              </w:rPr>
              <w:t>0</w:t>
            </w:r>
            <w:r w:rsidRPr="006E09CE">
              <w:rPr>
                <w:rFonts w:asciiTheme="majorHAnsi" w:hAnsiTheme="majorHAnsi"/>
              </w:rPr>
              <w:t xml:space="preserve"> .605</w:t>
            </w:r>
          </w:p>
        </w:tc>
        <w:tc>
          <w:tcPr>
            <w:tcW w:w="607" w:type="pct"/>
          </w:tcPr>
          <w:p w14:paraId="6EC55594" w14:textId="3FE52A75" w:rsidR="00214E39" w:rsidRPr="00EF700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w:t>
            </w:r>
            <w:r w:rsidRPr="006E09CE">
              <w:rPr>
                <w:rFonts w:asciiTheme="majorHAnsi" w:hAnsiTheme="majorHAnsi"/>
              </w:rPr>
              <w:t>.591</w:t>
            </w:r>
          </w:p>
        </w:tc>
        <w:tc>
          <w:tcPr>
            <w:tcW w:w="647" w:type="pct"/>
          </w:tcPr>
          <w:p w14:paraId="2371077A" w14:textId="462C58E9" w:rsidR="00214E39" w:rsidRPr="00184991" w:rsidRDefault="006E09CE"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4.00</w:t>
            </w:r>
            <w:r>
              <w:rPr>
                <w:rFonts w:asciiTheme="majorHAnsi" w:hAnsiTheme="majorHAnsi"/>
              </w:rPr>
              <w:t>3</w:t>
            </w:r>
          </w:p>
        </w:tc>
      </w:tr>
      <w:tr w:rsidR="006E09CE" w:rsidRPr="006A5F43" w14:paraId="6AA9CB07"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3644F56C" w14:textId="65F7921D" w:rsidR="006E09CE" w:rsidRDefault="006E09CE" w:rsidP="00310603">
            <w:pPr>
              <w:autoSpaceDE w:val="0"/>
              <w:autoSpaceDN w:val="0"/>
              <w:adjustRightInd w:val="0"/>
              <w:spacing w:after="120"/>
              <w:rPr>
                <w:rFonts w:asciiTheme="majorHAnsi" w:hAnsiTheme="majorHAnsi"/>
              </w:rPr>
            </w:pPr>
            <w:r>
              <w:rPr>
                <w:rFonts w:asciiTheme="majorHAnsi" w:hAnsiTheme="majorHAnsi"/>
              </w:rPr>
              <w:t>50</w:t>
            </w:r>
            <w:r w:rsidRPr="00214E39">
              <w:rPr>
                <w:rFonts w:asciiTheme="majorHAnsi" w:hAnsiTheme="majorHAnsi"/>
                <w:vertAlign w:val="superscript"/>
              </w:rPr>
              <w:t>th</w:t>
            </w:r>
            <w:r>
              <w:rPr>
                <w:rFonts w:asciiTheme="majorHAnsi" w:hAnsiTheme="majorHAnsi"/>
              </w:rPr>
              <w:t xml:space="preserve"> </w:t>
            </w:r>
            <w:r w:rsidR="004133B4">
              <w:rPr>
                <w:rFonts w:asciiTheme="majorHAnsi" w:hAnsiTheme="majorHAnsi"/>
              </w:rPr>
              <w:t>percentile</w:t>
            </w:r>
            <w:r w:rsidR="004133B4" w:rsidRPr="004133B4">
              <w:rPr>
                <w:rFonts w:asciiTheme="majorHAnsi" w:hAnsiTheme="majorHAnsi"/>
                <w:vertAlign w:val="superscript"/>
              </w:rPr>
              <w:t>2</w:t>
            </w:r>
          </w:p>
        </w:tc>
        <w:tc>
          <w:tcPr>
            <w:tcW w:w="438" w:type="pct"/>
          </w:tcPr>
          <w:p w14:paraId="0E87F2C6" w14:textId="3CF0B569"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605" w:type="pct"/>
          </w:tcPr>
          <w:p w14:paraId="107954CC" w14:textId="50AC1D45"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11.474</w:t>
            </w:r>
          </w:p>
        </w:tc>
        <w:tc>
          <w:tcPr>
            <w:tcW w:w="580" w:type="pct"/>
          </w:tcPr>
          <w:p w14:paraId="19B6D8CC" w14:textId="75EBD2B4"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5.697</w:t>
            </w:r>
          </w:p>
        </w:tc>
        <w:tc>
          <w:tcPr>
            <w:tcW w:w="632" w:type="pct"/>
          </w:tcPr>
          <w:p w14:paraId="16A7D6EA" w14:textId="72FF4025" w:rsidR="006E09CE"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3.90</w:t>
            </w:r>
            <w:r>
              <w:rPr>
                <w:rFonts w:asciiTheme="majorHAnsi" w:hAnsiTheme="majorHAnsi"/>
              </w:rPr>
              <w:t>7</w:t>
            </w:r>
          </w:p>
        </w:tc>
        <w:tc>
          <w:tcPr>
            <w:tcW w:w="598" w:type="pct"/>
          </w:tcPr>
          <w:p w14:paraId="3FEC8974" w14:textId="454CB5EA" w:rsidR="006E09CE" w:rsidRPr="005E409D"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2.00</w:t>
            </w:r>
            <w:r>
              <w:rPr>
                <w:rFonts w:asciiTheme="majorHAnsi" w:hAnsiTheme="majorHAnsi"/>
              </w:rPr>
              <w:t>7</w:t>
            </w:r>
          </w:p>
        </w:tc>
        <w:tc>
          <w:tcPr>
            <w:tcW w:w="607" w:type="pct"/>
          </w:tcPr>
          <w:p w14:paraId="7061F4B0" w14:textId="2AEBB032" w:rsidR="006E09CE" w:rsidRPr="00EF700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2.335</w:t>
            </w:r>
          </w:p>
        </w:tc>
        <w:tc>
          <w:tcPr>
            <w:tcW w:w="647" w:type="pct"/>
          </w:tcPr>
          <w:p w14:paraId="78F50410" w14:textId="19348B46" w:rsidR="006E09CE" w:rsidRPr="00184991" w:rsidRDefault="006E09CE"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9.295</w:t>
            </w:r>
          </w:p>
        </w:tc>
      </w:tr>
      <w:tr w:rsidR="006E09CE" w:rsidRPr="006A5F43" w14:paraId="5CCBFCE1"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79C3C7A4" w14:textId="431CF319" w:rsidR="006E09CE" w:rsidRDefault="006E09CE" w:rsidP="00310603">
            <w:pPr>
              <w:autoSpaceDE w:val="0"/>
              <w:autoSpaceDN w:val="0"/>
              <w:adjustRightInd w:val="0"/>
              <w:spacing w:after="120"/>
              <w:rPr>
                <w:rFonts w:asciiTheme="majorHAnsi" w:hAnsiTheme="majorHAnsi"/>
              </w:rPr>
            </w:pPr>
            <w:r>
              <w:rPr>
                <w:rFonts w:asciiTheme="majorHAnsi" w:hAnsiTheme="majorHAnsi"/>
              </w:rPr>
              <w:t>75</w:t>
            </w:r>
            <w:r w:rsidRPr="00214E39">
              <w:rPr>
                <w:rFonts w:asciiTheme="majorHAnsi" w:hAnsiTheme="majorHAnsi"/>
                <w:vertAlign w:val="superscript"/>
              </w:rPr>
              <w:t>th</w:t>
            </w:r>
            <w:r>
              <w:rPr>
                <w:rFonts w:asciiTheme="majorHAnsi" w:hAnsiTheme="majorHAnsi"/>
              </w:rPr>
              <w:t xml:space="preserve"> </w:t>
            </w:r>
            <w:r w:rsidR="004133B4">
              <w:rPr>
                <w:rFonts w:asciiTheme="majorHAnsi" w:hAnsiTheme="majorHAnsi"/>
              </w:rPr>
              <w:t>percentile</w:t>
            </w:r>
            <w:r w:rsidR="004133B4" w:rsidRPr="004133B4">
              <w:rPr>
                <w:rFonts w:asciiTheme="majorHAnsi" w:hAnsiTheme="majorHAnsi"/>
                <w:vertAlign w:val="superscript"/>
              </w:rPr>
              <w:t>2</w:t>
            </w:r>
          </w:p>
        </w:tc>
        <w:tc>
          <w:tcPr>
            <w:tcW w:w="438" w:type="pct"/>
            <w:tcBorders>
              <w:bottom w:val="single" w:sz="4" w:space="0" w:color="auto"/>
            </w:tcBorders>
          </w:tcPr>
          <w:p w14:paraId="66CECD9F" w14:textId="6EC4C113"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6CB4">
              <w:rPr>
                <w:rFonts w:asciiTheme="majorHAnsi" w:hAnsiTheme="majorHAnsi"/>
              </w:rPr>
              <w:t>NA</w:t>
            </w:r>
            <w:r w:rsidRPr="009C6CB4">
              <w:rPr>
                <w:rFonts w:asciiTheme="majorHAnsi" w:hAnsiTheme="majorHAnsi"/>
                <w:vertAlign w:val="superscript"/>
              </w:rPr>
              <w:t>2</w:t>
            </w:r>
          </w:p>
        </w:tc>
        <w:tc>
          <w:tcPr>
            <w:tcW w:w="605" w:type="pct"/>
            <w:tcBorders>
              <w:bottom w:val="single" w:sz="4" w:space="0" w:color="auto"/>
            </w:tcBorders>
          </w:tcPr>
          <w:p w14:paraId="26B32E18" w14:textId="0D2FDBE2"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6CB4">
              <w:rPr>
                <w:rFonts w:asciiTheme="majorHAnsi" w:hAnsiTheme="majorHAnsi"/>
              </w:rPr>
              <w:t>NA</w:t>
            </w:r>
            <w:r w:rsidRPr="009C6CB4">
              <w:rPr>
                <w:rFonts w:asciiTheme="majorHAnsi" w:hAnsiTheme="majorHAnsi"/>
                <w:vertAlign w:val="superscript"/>
              </w:rPr>
              <w:t>2</w:t>
            </w:r>
          </w:p>
        </w:tc>
        <w:tc>
          <w:tcPr>
            <w:tcW w:w="580" w:type="pct"/>
            <w:tcBorders>
              <w:bottom w:val="single" w:sz="4" w:space="0" w:color="auto"/>
            </w:tcBorders>
          </w:tcPr>
          <w:p w14:paraId="42FC26AF" w14:textId="7757D868"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9.295</w:t>
            </w:r>
          </w:p>
        </w:tc>
        <w:tc>
          <w:tcPr>
            <w:tcW w:w="632" w:type="pct"/>
            <w:tcBorders>
              <w:bottom w:val="single" w:sz="4" w:space="0" w:color="auto"/>
            </w:tcBorders>
          </w:tcPr>
          <w:p w14:paraId="5E64EADA" w14:textId="79B80672" w:rsidR="006E09CE"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6.17</w:t>
            </w:r>
            <w:r>
              <w:rPr>
                <w:rFonts w:asciiTheme="majorHAnsi" w:hAnsiTheme="majorHAnsi"/>
              </w:rPr>
              <w:t>7</w:t>
            </w:r>
          </w:p>
        </w:tc>
        <w:tc>
          <w:tcPr>
            <w:tcW w:w="598" w:type="pct"/>
            <w:tcBorders>
              <w:bottom w:val="single" w:sz="4" w:space="0" w:color="auto"/>
            </w:tcBorders>
          </w:tcPr>
          <w:p w14:paraId="6092A0E2" w14:textId="3E48A77C" w:rsidR="006E09CE" w:rsidRPr="005E409D"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2.839</w:t>
            </w:r>
          </w:p>
        </w:tc>
        <w:tc>
          <w:tcPr>
            <w:tcW w:w="607" w:type="pct"/>
            <w:tcBorders>
              <w:bottom w:val="single" w:sz="4" w:space="0" w:color="auto"/>
            </w:tcBorders>
          </w:tcPr>
          <w:p w14:paraId="7432E952" w14:textId="372DD683" w:rsidR="006E09CE" w:rsidRPr="00EF700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3.203</w:t>
            </w:r>
          </w:p>
        </w:tc>
        <w:tc>
          <w:tcPr>
            <w:tcW w:w="647" w:type="pct"/>
            <w:tcBorders>
              <w:bottom w:val="single" w:sz="4" w:space="0" w:color="auto"/>
            </w:tcBorders>
          </w:tcPr>
          <w:p w14:paraId="602DEC38" w14:textId="4B8F22DF" w:rsidR="006E09CE" w:rsidRPr="00184991" w:rsidRDefault="006E09CE"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r>
      <w:tr w:rsidR="0001345D" w:rsidRPr="006A5F43" w14:paraId="28F72FDE"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bottom w:val="nil"/>
              <w:right w:val="single" w:sz="4" w:space="0" w:color="auto"/>
            </w:tcBorders>
          </w:tcPr>
          <w:p w14:paraId="3AFF46F5" w14:textId="3912BBEE" w:rsidR="0001345D" w:rsidRDefault="0001345D" w:rsidP="00310603">
            <w:pPr>
              <w:autoSpaceDE w:val="0"/>
              <w:autoSpaceDN w:val="0"/>
              <w:adjustRightInd w:val="0"/>
              <w:spacing w:after="120"/>
              <w:rPr>
                <w:rFonts w:asciiTheme="majorHAnsi" w:hAnsiTheme="majorHAnsi"/>
              </w:rPr>
            </w:pPr>
            <w:r>
              <w:rPr>
                <w:rFonts w:asciiTheme="majorHAnsi" w:hAnsiTheme="majorHAnsi"/>
              </w:rPr>
              <w:t>Censor Time Distribution</w:t>
            </w:r>
          </w:p>
        </w:tc>
        <w:tc>
          <w:tcPr>
            <w:tcW w:w="4107" w:type="pct"/>
            <w:gridSpan w:val="7"/>
            <w:tcBorders>
              <w:top w:val="single" w:sz="4" w:space="0" w:color="auto"/>
              <w:left w:val="single" w:sz="4" w:space="0" w:color="auto"/>
              <w:bottom w:val="nil"/>
            </w:tcBorders>
          </w:tcPr>
          <w:p w14:paraId="1C84AD40" w14:textId="0EB2B1A2" w:rsidR="0001345D" w:rsidRDefault="0001345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Min – Max (1.459 – 13.128 years)</w:t>
            </w:r>
          </w:p>
        </w:tc>
      </w:tr>
      <w:tr w:rsidR="00942672" w:rsidRPr="006A5F43" w14:paraId="58889407"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0ADFED66" w14:textId="29F5F0AC" w:rsidR="00942672" w:rsidRDefault="00942672" w:rsidP="00310603">
            <w:pPr>
              <w:autoSpaceDE w:val="0"/>
              <w:autoSpaceDN w:val="0"/>
              <w:adjustRightInd w:val="0"/>
              <w:spacing w:after="120"/>
              <w:rPr>
                <w:rFonts w:asciiTheme="majorHAnsi" w:hAnsiTheme="majorHAnsi"/>
              </w:rPr>
            </w:pPr>
            <w:r>
              <w:rPr>
                <w:rFonts w:asciiTheme="majorHAnsi" w:hAnsiTheme="majorHAnsi"/>
              </w:rPr>
              <w:t>25</w:t>
            </w:r>
            <w:r w:rsidRPr="00214E39">
              <w:rPr>
                <w:rFonts w:asciiTheme="majorHAnsi" w:hAnsiTheme="majorHAnsi"/>
                <w:vertAlign w:val="superscript"/>
              </w:rPr>
              <w:t>th</w:t>
            </w:r>
            <w:r>
              <w:rPr>
                <w:rFonts w:asciiTheme="majorHAnsi" w:hAnsiTheme="majorHAnsi"/>
              </w:rPr>
              <w:t xml:space="preserve"> percentile</w:t>
            </w:r>
            <w:r w:rsidRPr="004133B4">
              <w:rPr>
                <w:rFonts w:asciiTheme="majorHAnsi" w:hAnsiTheme="majorHAnsi"/>
                <w:vertAlign w:val="superscript"/>
              </w:rPr>
              <w:t>2</w:t>
            </w:r>
            <w:r>
              <w:rPr>
                <w:rFonts w:asciiTheme="majorHAnsi" w:hAnsiTheme="majorHAnsi"/>
              </w:rPr>
              <w:t xml:space="preserve"> </w:t>
            </w:r>
          </w:p>
        </w:tc>
        <w:tc>
          <w:tcPr>
            <w:tcW w:w="438" w:type="pct"/>
            <w:tcBorders>
              <w:top w:val="nil"/>
            </w:tcBorders>
          </w:tcPr>
          <w:p w14:paraId="4BA323B1" w14:textId="78357966"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5.013</w:t>
            </w:r>
          </w:p>
        </w:tc>
        <w:tc>
          <w:tcPr>
            <w:tcW w:w="605" w:type="pct"/>
            <w:tcBorders>
              <w:top w:val="nil"/>
            </w:tcBorders>
          </w:tcPr>
          <w:p w14:paraId="4C9D1BA3" w14:textId="79D7D93E"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3.984</w:t>
            </w:r>
          </w:p>
        </w:tc>
        <w:tc>
          <w:tcPr>
            <w:tcW w:w="580" w:type="pct"/>
            <w:tcBorders>
              <w:top w:val="nil"/>
            </w:tcBorders>
          </w:tcPr>
          <w:p w14:paraId="423A09FE" w14:textId="11BB8B79"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4.118</w:t>
            </w:r>
          </w:p>
        </w:tc>
        <w:tc>
          <w:tcPr>
            <w:tcW w:w="632" w:type="pct"/>
            <w:tcBorders>
              <w:top w:val="nil"/>
            </w:tcBorders>
          </w:tcPr>
          <w:p w14:paraId="479E1D94" w14:textId="307CBAA3"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3.614</w:t>
            </w:r>
          </w:p>
        </w:tc>
        <w:tc>
          <w:tcPr>
            <w:tcW w:w="598" w:type="pct"/>
            <w:tcBorders>
              <w:top w:val="nil"/>
            </w:tcBorders>
          </w:tcPr>
          <w:p w14:paraId="17E19B79" w14:textId="5407F4FA"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4.526</w:t>
            </w:r>
          </w:p>
        </w:tc>
        <w:tc>
          <w:tcPr>
            <w:tcW w:w="607" w:type="pct"/>
            <w:tcBorders>
              <w:top w:val="nil"/>
            </w:tcBorders>
          </w:tcPr>
          <w:p w14:paraId="4516293A" w14:textId="69ECAA92"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6.207</w:t>
            </w:r>
          </w:p>
        </w:tc>
        <w:tc>
          <w:tcPr>
            <w:tcW w:w="647" w:type="pct"/>
            <w:tcBorders>
              <w:top w:val="nil"/>
            </w:tcBorders>
          </w:tcPr>
          <w:p w14:paraId="7E387FB7" w14:textId="6B99D076" w:rsidR="00942672" w:rsidRDefault="002C51A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4.359</w:t>
            </w:r>
          </w:p>
        </w:tc>
      </w:tr>
      <w:tr w:rsidR="00942672" w:rsidRPr="006A5F43" w14:paraId="7FBF8A4C"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1D0A9E80" w14:textId="5B1EBE57" w:rsidR="00942672" w:rsidRDefault="00942672" w:rsidP="00310603">
            <w:pPr>
              <w:autoSpaceDE w:val="0"/>
              <w:autoSpaceDN w:val="0"/>
              <w:adjustRightInd w:val="0"/>
              <w:spacing w:after="120"/>
              <w:rPr>
                <w:rFonts w:asciiTheme="majorHAnsi" w:hAnsiTheme="majorHAnsi"/>
              </w:rPr>
            </w:pPr>
            <w:r>
              <w:rPr>
                <w:rFonts w:asciiTheme="majorHAnsi" w:hAnsiTheme="majorHAnsi"/>
              </w:rPr>
              <w:lastRenderedPageBreak/>
              <w:t>50</w:t>
            </w:r>
            <w:r w:rsidRPr="00214E39">
              <w:rPr>
                <w:rFonts w:asciiTheme="majorHAnsi" w:hAnsiTheme="majorHAnsi"/>
                <w:vertAlign w:val="superscript"/>
              </w:rPr>
              <w:t>th</w:t>
            </w:r>
            <w:r>
              <w:rPr>
                <w:rFonts w:asciiTheme="majorHAnsi" w:hAnsiTheme="majorHAnsi"/>
              </w:rPr>
              <w:t xml:space="preserve"> percentile</w:t>
            </w:r>
            <w:r w:rsidRPr="004133B4">
              <w:rPr>
                <w:rFonts w:asciiTheme="majorHAnsi" w:hAnsiTheme="majorHAnsi"/>
                <w:vertAlign w:val="superscript"/>
              </w:rPr>
              <w:t>2</w:t>
            </w:r>
          </w:p>
        </w:tc>
        <w:tc>
          <w:tcPr>
            <w:tcW w:w="438" w:type="pct"/>
          </w:tcPr>
          <w:p w14:paraId="3B6F4D72" w14:textId="26E7264F"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6.938</w:t>
            </w:r>
          </w:p>
        </w:tc>
        <w:tc>
          <w:tcPr>
            <w:tcW w:w="605" w:type="pct"/>
          </w:tcPr>
          <w:p w14:paraId="37FAEA0D" w14:textId="5FDE39B3"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6.401</w:t>
            </w:r>
          </w:p>
        </w:tc>
        <w:tc>
          <w:tcPr>
            <w:tcW w:w="580" w:type="pct"/>
          </w:tcPr>
          <w:p w14:paraId="2FF1D42F" w14:textId="5F22F73E"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6.379</w:t>
            </w:r>
          </w:p>
        </w:tc>
        <w:tc>
          <w:tcPr>
            <w:tcW w:w="632" w:type="pct"/>
          </w:tcPr>
          <w:p w14:paraId="6B65D248" w14:textId="26A131C3"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4.832</w:t>
            </w:r>
          </w:p>
        </w:tc>
        <w:tc>
          <w:tcPr>
            <w:tcW w:w="598" w:type="pct"/>
          </w:tcPr>
          <w:p w14:paraId="3C4111BD" w14:textId="28795DCC"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5.153</w:t>
            </w:r>
          </w:p>
        </w:tc>
        <w:tc>
          <w:tcPr>
            <w:tcW w:w="607" w:type="pct"/>
          </w:tcPr>
          <w:p w14:paraId="2752439F" w14:textId="4632674D"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6.207</w:t>
            </w:r>
          </w:p>
        </w:tc>
        <w:tc>
          <w:tcPr>
            <w:tcW w:w="647" w:type="pct"/>
          </w:tcPr>
          <w:p w14:paraId="19F8FAF0" w14:textId="2C0BEE97" w:rsidR="00942672" w:rsidRDefault="002C51A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6.475</w:t>
            </w:r>
          </w:p>
        </w:tc>
      </w:tr>
      <w:tr w:rsidR="00942672" w:rsidRPr="006A5F43" w14:paraId="72DFE64C"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7C0DD0F8" w14:textId="4578F0DD" w:rsidR="00942672" w:rsidRDefault="00942672" w:rsidP="00310603">
            <w:pPr>
              <w:autoSpaceDE w:val="0"/>
              <w:autoSpaceDN w:val="0"/>
              <w:adjustRightInd w:val="0"/>
              <w:spacing w:after="120"/>
              <w:rPr>
                <w:rFonts w:asciiTheme="majorHAnsi" w:hAnsiTheme="majorHAnsi"/>
              </w:rPr>
            </w:pPr>
            <w:r>
              <w:rPr>
                <w:rFonts w:asciiTheme="majorHAnsi" w:hAnsiTheme="majorHAnsi"/>
              </w:rPr>
              <w:t>75</w:t>
            </w:r>
            <w:r w:rsidRPr="00214E39">
              <w:rPr>
                <w:rFonts w:asciiTheme="majorHAnsi" w:hAnsiTheme="majorHAnsi"/>
                <w:vertAlign w:val="superscript"/>
              </w:rPr>
              <w:t>th</w:t>
            </w:r>
            <w:r>
              <w:rPr>
                <w:rFonts w:asciiTheme="majorHAnsi" w:hAnsiTheme="majorHAnsi"/>
              </w:rPr>
              <w:t xml:space="preserve"> percentile</w:t>
            </w:r>
            <w:r w:rsidRPr="004133B4">
              <w:rPr>
                <w:rFonts w:asciiTheme="majorHAnsi" w:hAnsiTheme="majorHAnsi"/>
                <w:vertAlign w:val="superscript"/>
              </w:rPr>
              <w:t>2</w:t>
            </w:r>
          </w:p>
        </w:tc>
        <w:tc>
          <w:tcPr>
            <w:tcW w:w="438" w:type="pct"/>
          </w:tcPr>
          <w:p w14:paraId="3916AE4F" w14:textId="4AACF6AB"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9.027</w:t>
            </w:r>
          </w:p>
        </w:tc>
        <w:tc>
          <w:tcPr>
            <w:tcW w:w="605" w:type="pct"/>
          </w:tcPr>
          <w:p w14:paraId="3629DC0D" w14:textId="6E29EF66"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10.467</w:t>
            </w:r>
          </w:p>
        </w:tc>
        <w:tc>
          <w:tcPr>
            <w:tcW w:w="580" w:type="pct"/>
          </w:tcPr>
          <w:p w14:paraId="7EEB9FE8" w14:textId="208B1DF5"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12.192</w:t>
            </w:r>
          </w:p>
        </w:tc>
        <w:tc>
          <w:tcPr>
            <w:tcW w:w="632" w:type="pct"/>
          </w:tcPr>
          <w:p w14:paraId="30628889" w14:textId="2C62FFAB"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8.643</w:t>
            </w:r>
          </w:p>
        </w:tc>
        <w:tc>
          <w:tcPr>
            <w:tcW w:w="598" w:type="pct"/>
          </w:tcPr>
          <w:p w14:paraId="4F1CAFFC" w14:textId="454FD8CB"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6CB4">
              <w:rPr>
                <w:rFonts w:asciiTheme="majorHAnsi" w:hAnsiTheme="majorHAnsi"/>
              </w:rPr>
              <w:t>NA</w:t>
            </w:r>
            <w:r w:rsidRPr="009C6CB4">
              <w:rPr>
                <w:rFonts w:asciiTheme="majorHAnsi" w:hAnsiTheme="majorHAnsi"/>
                <w:vertAlign w:val="superscript"/>
              </w:rPr>
              <w:t>2</w:t>
            </w:r>
          </w:p>
        </w:tc>
        <w:tc>
          <w:tcPr>
            <w:tcW w:w="607" w:type="pct"/>
          </w:tcPr>
          <w:p w14:paraId="1A982393" w14:textId="56AFA9A4"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6.207</w:t>
            </w:r>
          </w:p>
        </w:tc>
        <w:tc>
          <w:tcPr>
            <w:tcW w:w="647" w:type="pct"/>
          </w:tcPr>
          <w:p w14:paraId="59998DC0" w14:textId="450ACAEE" w:rsidR="00942672" w:rsidRDefault="002C51A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9.133</w:t>
            </w:r>
          </w:p>
        </w:tc>
      </w:tr>
    </w:tbl>
    <w:p w14:paraId="30429B3C" w14:textId="1296E287" w:rsidR="007A0F6A" w:rsidRPr="007A0F6A" w:rsidRDefault="00F95BDD" w:rsidP="007A0F6A">
      <w:pPr>
        <w:pStyle w:val="ListParagraph"/>
        <w:numPr>
          <w:ilvl w:val="0"/>
          <w:numId w:val="20"/>
        </w:numPr>
        <w:autoSpaceDE w:val="0"/>
        <w:autoSpaceDN w:val="0"/>
        <w:adjustRightInd w:val="0"/>
        <w:spacing w:after="120"/>
        <w:rPr>
          <w:sz w:val="22"/>
          <w:szCs w:val="22"/>
        </w:rPr>
      </w:pPr>
      <w:r w:rsidRPr="00F95BDD">
        <w:rPr>
          <w:sz w:val="22"/>
          <w:szCs w:val="22"/>
          <w:vertAlign w:val="superscript"/>
        </w:rPr>
        <w:t>1</w:t>
      </w:r>
      <w:r w:rsidRPr="00BC14D5">
        <w:rPr>
          <w:rFonts w:asciiTheme="majorHAnsi" w:hAnsiTheme="majorHAnsi"/>
        </w:rPr>
        <w:t>106 missing values for sex variable</w:t>
      </w:r>
      <w:r w:rsidR="00D556BD">
        <w:rPr>
          <w:rFonts w:asciiTheme="majorHAnsi" w:hAnsiTheme="majorHAnsi"/>
        </w:rPr>
        <w:t>, 108 missing values for treatment variable</w:t>
      </w:r>
    </w:p>
    <w:p w14:paraId="42BFE283" w14:textId="2DF61064" w:rsidR="00F95BDD" w:rsidRPr="007A0F6A" w:rsidRDefault="00F95BDD" w:rsidP="00F95BDD">
      <w:pPr>
        <w:pStyle w:val="ListParagraph"/>
        <w:numPr>
          <w:ilvl w:val="0"/>
          <w:numId w:val="20"/>
        </w:numPr>
        <w:autoSpaceDE w:val="0"/>
        <w:autoSpaceDN w:val="0"/>
        <w:adjustRightInd w:val="0"/>
        <w:spacing w:after="120"/>
        <w:rPr>
          <w:sz w:val="22"/>
          <w:szCs w:val="22"/>
        </w:rPr>
      </w:pPr>
      <w:r w:rsidRPr="00F95BDD">
        <w:rPr>
          <w:rFonts w:asciiTheme="majorHAnsi" w:hAnsiTheme="majorHAnsi"/>
          <w:vertAlign w:val="superscript"/>
        </w:rPr>
        <w:t>2</w:t>
      </w:r>
      <w:r>
        <w:rPr>
          <w:rFonts w:asciiTheme="majorHAnsi" w:hAnsiTheme="majorHAnsi"/>
          <w:vertAlign w:val="superscript"/>
        </w:rPr>
        <w:t xml:space="preserve"> </w:t>
      </w:r>
      <w:r>
        <w:rPr>
          <w:rFonts w:asciiTheme="majorHAnsi" w:hAnsiTheme="majorHAnsi"/>
        </w:rPr>
        <w:t xml:space="preserve">Kaplan-Meier estimates </w:t>
      </w:r>
      <w:r w:rsidR="002C51A3">
        <w:rPr>
          <w:rFonts w:asciiTheme="majorHAnsi" w:hAnsiTheme="majorHAnsi"/>
        </w:rPr>
        <w:t xml:space="preserve">of distribution of time from study enrolment to death from any cause </w:t>
      </w:r>
      <w:r>
        <w:rPr>
          <w:rFonts w:asciiTheme="majorHAnsi" w:hAnsiTheme="majorHAnsi"/>
        </w:rPr>
        <w:t xml:space="preserve">within </w:t>
      </w:r>
      <w:r w:rsidR="000529D1">
        <w:rPr>
          <w:rFonts w:asciiTheme="majorHAnsi" w:hAnsiTheme="majorHAnsi"/>
        </w:rPr>
        <w:t xml:space="preserve">baseline serum bilirubin level total and subcategories. </w:t>
      </w:r>
      <w:r w:rsidR="00B5377C">
        <w:rPr>
          <w:rFonts w:asciiTheme="majorHAnsi" w:hAnsiTheme="majorHAnsi"/>
        </w:rPr>
        <w:t>NA indicates non estimable survival probability with available data within stratum</w:t>
      </w:r>
      <w:r>
        <w:rPr>
          <w:rFonts w:asciiTheme="majorHAnsi" w:hAnsiTheme="majorHAnsi"/>
        </w:rPr>
        <w:t xml:space="preserve"> </w:t>
      </w:r>
    </w:p>
    <w:p w14:paraId="3E222D8A" w14:textId="2AC6DC16" w:rsidR="006A5F43" w:rsidRPr="007A0F6A" w:rsidRDefault="007A0F6A" w:rsidP="00442667">
      <w:pPr>
        <w:pStyle w:val="ListParagraph"/>
        <w:numPr>
          <w:ilvl w:val="0"/>
          <w:numId w:val="20"/>
        </w:numPr>
        <w:autoSpaceDE w:val="0"/>
        <w:autoSpaceDN w:val="0"/>
        <w:adjustRightInd w:val="0"/>
        <w:spacing w:after="120"/>
        <w:rPr>
          <w:sz w:val="22"/>
          <w:szCs w:val="22"/>
        </w:rPr>
      </w:pPr>
      <w:r w:rsidRPr="007A0F6A">
        <w:rPr>
          <w:rFonts w:asciiTheme="majorHAnsi" w:hAnsiTheme="majorHAnsi"/>
          <w:vertAlign w:val="superscript"/>
        </w:rPr>
        <w:t>3</w:t>
      </w:r>
      <w:r>
        <w:rPr>
          <w:rFonts w:asciiTheme="majorHAnsi" w:hAnsiTheme="majorHAnsi"/>
        </w:rPr>
        <w:t xml:space="preserve"> Sample size within each category</w:t>
      </w:r>
    </w:p>
    <w:p w14:paraId="43E45CBF" w14:textId="3A9B6591" w:rsidR="007A0F6A" w:rsidRDefault="00952A5D" w:rsidP="007A0F6A">
      <w:pPr>
        <w:autoSpaceDE w:val="0"/>
        <w:autoSpaceDN w:val="0"/>
        <w:adjustRightInd w:val="0"/>
        <w:spacing w:after="120"/>
        <w:rPr>
          <w:sz w:val="22"/>
          <w:szCs w:val="22"/>
        </w:rPr>
      </w:pPr>
      <w:r>
        <w:rPr>
          <w:sz w:val="22"/>
          <w:szCs w:val="22"/>
        </w:rPr>
        <w:t>Finally, there is some evidence of e</w:t>
      </w:r>
      <w:r w:rsidR="001F1AA4">
        <w:rPr>
          <w:sz w:val="22"/>
          <w:szCs w:val="22"/>
        </w:rPr>
        <w:t>ffect modification</w:t>
      </w:r>
      <w:r w:rsidR="0070001A">
        <w:rPr>
          <w:sz w:val="22"/>
          <w:szCs w:val="22"/>
        </w:rPr>
        <w:t xml:space="preserve"> in outcome, t</w:t>
      </w:r>
      <w:r>
        <w:rPr>
          <w:sz w:val="22"/>
          <w:szCs w:val="22"/>
        </w:rPr>
        <w:t>he survival curv</w:t>
      </w:r>
      <w:r w:rsidR="0070001A">
        <w:rPr>
          <w:sz w:val="22"/>
          <w:szCs w:val="22"/>
        </w:rPr>
        <w:t>e between males and females is different – see figure 3.</w:t>
      </w:r>
    </w:p>
    <w:p w14:paraId="43EF09F8" w14:textId="445E37A9" w:rsidR="0070001A" w:rsidRDefault="0070001A" w:rsidP="007A0F6A">
      <w:pPr>
        <w:autoSpaceDE w:val="0"/>
        <w:autoSpaceDN w:val="0"/>
        <w:adjustRightInd w:val="0"/>
        <w:spacing w:after="120"/>
        <w:rPr>
          <w:sz w:val="22"/>
          <w:szCs w:val="22"/>
        </w:rPr>
      </w:pPr>
      <w:r>
        <w:rPr>
          <w:sz w:val="22"/>
          <w:szCs w:val="22"/>
        </w:rPr>
        <w:t>Figure 3: Survival estimates stratified by sex</w:t>
      </w:r>
    </w:p>
    <w:p w14:paraId="1A9DFC27" w14:textId="14747718" w:rsidR="001F1AA4" w:rsidRDefault="00952A5D" w:rsidP="007A0F6A">
      <w:pPr>
        <w:autoSpaceDE w:val="0"/>
        <w:autoSpaceDN w:val="0"/>
        <w:adjustRightInd w:val="0"/>
        <w:spacing w:after="120"/>
        <w:rPr>
          <w:sz w:val="22"/>
          <w:szCs w:val="22"/>
        </w:rPr>
      </w:pPr>
      <w:r>
        <w:rPr>
          <w:noProof/>
          <w:sz w:val="22"/>
          <w:szCs w:val="22"/>
        </w:rPr>
        <w:drawing>
          <wp:inline distT="0" distB="0" distL="0" distR="0" wp14:anchorId="6E8126FE" wp14:editId="34469FFD">
            <wp:extent cx="5033645" cy="3657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432CE20C" w14:textId="77777777" w:rsidR="001F1AA4" w:rsidRDefault="001F1AA4" w:rsidP="007A0F6A">
      <w:pPr>
        <w:autoSpaceDE w:val="0"/>
        <w:autoSpaceDN w:val="0"/>
        <w:adjustRightInd w:val="0"/>
        <w:spacing w:after="120"/>
        <w:rPr>
          <w:sz w:val="22"/>
          <w:szCs w:val="22"/>
        </w:rPr>
      </w:pPr>
    </w:p>
    <w:p w14:paraId="2BE8BCC1" w14:textId="77777777" w:rsidR="001F1AA4" w:rsidRPr="007A0F6A" w:rsidRDefault="001F1AA4" w:rsidP="007A0F6A">
      <w:pPr>
        <w:autoSpaceDE w:val="0"/>
        <w:autoSpaceDN w:val="0"/>
        <w:adjustRightInd w:val="0"/>
        <w:spacing w:after="120"/>
        <w:rPr>
          <w:sz w:val="22"/>
          <w:szCs w:val="22"/>
        </w:rPr>
        <w:sectPr w:rsidR="001F1AA4" w:rsidRPr="007A0F6A" w:rsidSect="006A5F43">
          <w:pgSz w:w="15840" w:h="12240" w:orient="landscape"/>
          <w:pgMar w:top="1296" w:right="1296" w:bottom="1296" w:left="1296" w:header="720" w:footer="720" w:gutter="0"/>
          <w:cols w:space="720"/>
          <w:noEndnote/>
        </w:sectPr>
      </w:pPr>
    </w:p>
    <w:p w14:paraId="52BB4588" w14:textId="77777777" w:rsidR="002C00DA" w:rsidRPr="00442667" w:rsidRDefault="002C00DA" w:rsidP="00442667">
      <w:pPr>
        <w:autoSpaceDE w:val="0"/>
        <w:autoSpaceDN w:val="0"/>
        <w:adjustRightInd w:val="0"/>
        <w:spacing w:after="120"/>
        <w:rPr>
          <w:color w:val="0000FF"/>
          <w:sz w:val="22"/>
          <w:szCs w:val="22"/>
        </w:rPr>
      </w:pPr>
    </w:p>
    <w:p w14:paraId="29B044B7" w14:textId="11596D09" w:rsidR="002777EC" w:rsidRPr="00AE6D68" w:rsidRDefault="004D7832" w:rsidP="00F538AE">
      <w:pPr>
        <w:numPr>
          <w:ilvl w:val="0"/>
          <w:numId w:val="19"/>
        </w:numPr>
        <w:autoSpaceDE w:val="0"/>
        <w:autoSpaceDN w:val="0"/>
        <w:adjustRightInd w:val="0"/>
        <w:spacing w:after="120"/>
        <w:rPr>
          <w:color w:val="0000FF"/>
          <w:sz w:val="22"/>
          <w:szCs w:val="22"/>
        </w:rPr>
      </w:pPr>
      <w:r w:rsidRPr="00AE6D68">
        <w:rPr>
          <w:color w:val="0000FF"/>
          <w:sz w:val="22"/>
          <w:szCs w:val="22"/>
        </w:rPr>
        <w:t xml:space="preserve">In prior </w:t>
      </w:r>
      <w:proofErr w:type="spellStart"/>
      <w:r w:rsidRPr="00AE6D68">
        <w:rPr>
          <w:color w:val="0000FF"/>
          <w:sz w:val="22"/>
          <w:szCs w:val="22"/>
        </w:rPr>
        <w:t>homeworks</w:t>
      </w:r>
      <w:proofErr w:type="spellEnd"/>
      <w:r w:rsidRPr="00AE6D68">
        <w:rPr>
          <w:color w:val="0000FF"/>
          <w:sz w:val="22"/>
          <w:szCs w:val="22"/>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w:t>
      </w:r>
      <w:commentRangeStart w:id="3"/>
      <w:r w:rsidRPr="00AE6D68">
        <w:rPr>
          <w:color w:val="0000FF"/>
          <w:sz w:val="22"/>
          <w:szCs w:val="22"/>
        </w:rPr>
        <w:t>precision</w:t>
      </w:r>
      <w:commentRangeEnd w:id="3"/>
      <w:r w:rsidR="002D26E3">
        <w:rPr>
          <w:rStyle w:val="CommentReference"/>
        </w:rPr>
        <w:commentReference w:id="3"/>
      </w:r>
      <w:r w:rsidRPr="00AE6D68">
        <w:rPr>
          <w:color w:val="0000FF"/>
          <w:sz w:val="22"/>
          <w:szCs w:val="22"/>
        </w:rPr>
        <w:t>.)</w:t>
      </w:r>
      <w:r w:rsidR="002D26E3">
        <w:rPr>
          <w:color w:val="0000FF"/>
          <w:sz w:val="22"/>
          <w:szCs w:val="22"/>
        </w:rPr>
        <w:t xml:space="preserve">  </w:t>
      </w:r>
    </w:p>
    <w:p w14:paraId="14225287" w14:textId="6233FD9E" w:rsidR="002B2A44" w:rsidRPr="00F76124" w:rsidRDefault="002E1109" w:rsidP="0091637F">
      <w:pPr>
        <w:autoSpaceDE w:val="0"/>
        <w:autoSpaceDN w:val="0"/>
        <w:adjustRightInd w:val="0"/>
        <w:spacing w:after="120"/>
        <w:ind w:left="720"/>
        <w:jc w:val="both"/>
        <w:rPr>
          <w:rFonts w:asciiTheme="majorHAnsi" w:hAnsiTheme="majorHAnsi"/>
          <w:sz w:val="22"/>
          <w:szCs w:val="22"/>
        </w:rPr>
      </w:pPr>
      <w:r w:rsidRPr="00F76124">
        <w:rPr>
          <w:rFonts w:asciiTheme="majorHAnsi" w:hAnsiTheme="majorHAnsi"/>
          <w:sz w:val="22"/>
          <w:szCs w:val="22"/>
        </w:rPr>
        <w:t>T</w:t>
      </w:r>
      <w:r w:rsidR="005453B6" w:rsidRPr="00F76124">
        <w:rPr>
          <w:rFonts w:asciiTheme="majorHAnsi" w:hAnsiTheme="majorHAnsi"/>
          <w:sz w:val="22"/>
          <w:szCs w:val="22"/>
        </w:rPr>
        <w:t>he least</w:t>
      </w:r>
      <w:r w:rsidR="002B2A44" w:rsidRPr="00F76124">
        <w:rPr>
          <w:rFonts w:asciiTheme="majorHAnsi" w:hAnsiTheme="majorHAnsi"/>
          <w:sz w:val="22"/>
          <w:szCs w:val="22"/>
        </w:rPr>
        <w:t xml:space="preserve"> censored time</w:t>
      </w:r>
      <w:r w:rsidR="00AE6D68">
        <w:rPr>
          <w:rFonts w:asciiTheme="majorHAnsi" w:hAnsiTheme="majorHAnsi"/>
          <w:sz w:val="22"/>
          <w:szCs w:val="22"/>
        </w:rPr>
        <w:t xml:space="preserve"> in this data set</w:t>
      </w:r>
      <w:r w:rsidRPr="00F76124">
        <w:rPr>
          <w:rFonts w:asciiTheme="majorHAnsi" w:hAnsiTheme="majorHAnsi"/>
          <w:sz w:val="22"/>
          <w:szCs w:val="22"/>
        </w:rPr>
        <w:t xml:space="preserve"> is 1.46</w:t>
      </w:r>
      <w:r w:rsidR="002B2A44" w:rsidRPr="00F76124">
        <w:rPr>
          <w:rFonts w:asciiTheme="majorHAnsi" w:hAnsiTheme="majorHAnsi"/>
          <w:sz w:val="22"/>
          <w:szCs w:val="22"/>
        </w:rPr>
        <w:t xml:space="preserve"> year</w:t>
      </w:r>
      <w:r w:rsidR="00F76124" w:rsidRPr="00F76124">
        <w:rPr>
          <w:rFonts w:asciiTheme="majorHAnsi" w:hAnsiTheme="majorHAnsi"/>
          <w:sz w:val="22"/>
          <w:szCs w:val="22"/>
        </w:rPr>
        <w:t>s with 36/382 (9.42%) dea</w:t>
      </w:r>
      <w:r w:rsidR="00AE6D68">
        <w:rPr>
          <w:rFonts w:asciiTheme="majorHAnsi" w:hAnsiTheme="majorHAnsi"/>
          <w:sz w:val="22"/>
          <w:szCs w:val="22"/>
        </w:rPr>
        <w:t>ths of any cause occurring during this time period. If we created a binomial variable of dead within 1.46 years and its alternative</w:t>
      </w:r>
      <w:r w:rsidR="00F76124">
        <w:rPr>
          <w:rFonts w:asciiTheme="majorHAnsi" w:hAnsiTheme="majorHAnsi"/>
          <w:sz w:val="22"/>
          <w:szCs w:val="22"/>
        </w:rPr>
        <w:t xml:space="preserve"> will comprise of </w:t>
      </w:r>
      <w:r w:rsidRPr="00F76124">
        <w:rPr>
          <w:rFonts w:asciiTheme="majorHAnsi" w:hAnsiTheme="majorHAnsi"/>
          <w:sz w:val="22"/>
          <w:szCs w:val="22"/>
        </w:rPr>
        <w:t>dead and individuals with censored information</w:t>
      </w:r>
      <w:r w:rsidR="00F76124">
        <w:rPr>
          <w:rFonts w:asciiTheme="majorHAnsi" w:hAnsiTheme="majorHAnsi"/>
          <w:sz w:val="22"/>
          <w:szCs w:val="22"/>
        </w:rPr>
        <w:t xml:space="preserve">/unknown status therefore reducing precision in determining associations with deaths. </w:t>
      </w:r>
    </w:p>
    <w:p w14:paraId="6A48F85E" w14:textId="77777777" w:rsidR="00A459C8" w:rsidRPr="00AE6D68" w:rsidRDefault="00C55091" w:rsidP="002777EC">
      <w:pPr>
        <w:numPr>
          <w:ilvl w:val="0"/>
          <w:numId w:val="19"/>
        </w:numPr>
        <w:autoSpaceDE w:val="0"/>
        <w:autoSpaceDN w:val="0"/>
        <w:adjustRightInd w:val="0"/>
        <w:spacing w:after="120"/>
        <w:rPr>
          <w:color w:val="0000FF"/>
          <w:sz w:val="22"/>
          <w:szCs w:val="22"/>
        </w:rPr>
      </w:pPr>
      <w:r w:rsidRPr="00AE6D68">
        <w:rPr>
          <w:color w:val="0000FF"/>
          <w:sz w:val="22"/>
          <w:szCs w:val="22"/>
        </w:rPr>
        <w:t xml:space="preserve">Perform a statistical </w:t>
      </w:r>
      <w:r w:rsidR="00115B08" w:rsidRPr="00AE6D68">
        <w:rPr>
          <w:color w:val="0000FF"/>
          <w:sz w:val="22"/>
          <w:szCs w:val="22"/>
        </w:rPr>
        <w:t xml:space="preserve">regression </w:t>
      </w:r>
      <w:r w:rsidRPr="00AE6D68">
        <w:rPr>
          <w:color w:val="0000FF"/>
          <w:sz w:val="22"/>
          <w:szCs w:val="22"/>
        </w:rPr>
        <w:t xml:space="preserve">analysis evaluating an association between serum </w:t>
      </w:r>
      <w:r w:rsidR="002777EC" w:rsidRPr="00AE6D68">
        <w:rPr>
          <w:color w:val="0000FF"/>
          <w:sz w:val="22"/>
          <w:szCs w:val="22"/>
        </w:rPr>
        <w:t>bilirubin</w:t>
      </w:r>
      <w:r w:rsidR="00F538AE" w:rsidRPr="00AE6D68">
        <w:rPr>
          <w:color w:val="0000FF"/>
          <w:sz w:val="22"/>
          <w:szCs w:val="22"/>
        </w:rPr>
        <w:t xml:space="preserve"> </w:t>
      </w:r>
      <w:r w:rsidRPr="00AE6D68">
        <w:rPr>
          <w:color w:val="0000FF"/>
          <w:sz w:val="22"/>
          <w:szCs w:val="22"/>
        </w:rPr>
        <w:t xml:space="preserve">and all-cause mortality by comparing the </w:t>
      </w:r>
      <w:r w:rsidR="00F538AE" w:rsidRPr="00AE6D68">
        <w:rPr>
          <w:color w:val="0000FF"/>
          <w:sz w:val="22"/>
          <w:szCs w:val="22"/>
        </w:rPr>
        <w:t>instantaneous risk (hazard) of</w:t>
      </w:r>
      <w:r w:rsidRPr="00AE6D68">
        <w:rPr>
          <w:color w:val="0000FF"/>
          <w:sz w:val="22"/>
          <w:szCs w:val="22"/>
        </w:rPr>
        <w:t xml:space="preserve"> death </w:t>
      </w:r>
      <w:r w:rsidR="00F538AE" w:rsidRPr="00AE6D68">
        <w:rPr>
          <w:color w:val="0000FF"/>
          <w:sz w:val="22"/>
          <w:szCs w:val="22"/>
        </w:rPr>
        <w:t>over the entire period of observation across groups defined by</w:t>
      </w:r>
      <w:r w:rsidR="00B457A7" w:rsidRPr="00AE6D68">
        <w:rPr>
          <w:color w:val="0000FF"/>
          <w:sz w:val="22"/>
          <w:szCs w:val="22"/>
        </w:rPr>
        <w:t xml:space="preserve"> serum </w:t>
      </w:r>
      <w:r w:rsidR="002777EC" w:rsidRPr="00AE6D68">
        <w:rPr>
          <w:color w:val="0000FF"/>
          <w:sz w:val="22"/>
          <w:szCs w:val="22"/>
        </w:rPr>
        <w:t>bilirubin</w:t>
      </w:r>
      <w:r w:rsidR="00B457A7" w:rsidRPr="00AE6D68">
        <w:rPr>
          <w:color w:val="0000FF"/>
          <w:sz w:val="22"/>
          <w:szCs w:val="22"/>
        </w:rPr>
        <w:t xml:space="preserve"> </w:t>
      </w:r>
      <w:r w:rsidR="00F538AE" w:rsidRPr="00AE6D68">
        <w:rPr>
          <w:color w:val="0000FF"/>
          <w:sz w:val="22"/>
          <w:szCs w:val="22"/>
        </w:rPr>
        <w:t xml:space="preserve">modeled as a continuous variable. </w:t>
      </w:r>
    </w:p>
    <w:p w14:paraId="1D35C330" w14:textId="3660025B" w:rsidR="00DE6331" w:rsidRPr="007D794A" w:rsidRDefault="00F76124" w:rsidP="0091637F">
      <w:pPr>
        <w:autoSpaceDE w:val="0"/>
        <w:autoSpaceDN w:val="0"/>
        <w:adjustRightInd w:val="0"/>
        <w:spacing w:after="120"/>
        <w:ind w:left="720"/>
        <w:jc w:val="both"/>
        <w:rPr>
          <w:rFonts w:asciiTheme="majorHAnsi" w:hAnsiTheme="majorHAnsi"/>
          <w:sz w:val="22"/>
          <w:szCs w:val="22"/>
        </w:rPr>
      </w:pPr>
      <w:r w:rsidRPr="004E06E1">
        <w:rPr>
          <w:rFonts w:asciiTheme="majorHAnsi" w:hAnsiTheme="majorHAnsi"/>
          <w:b/>
          <w:sz w:val="22"/>
          <w:szCs w:val="22"/>
          <w:u w:val="single"/>
        </w:rPr>
        <w:t>Method:</w:t>
      </w:r>
      <w:r w:rsidRPr="005333B9">
        <w:rPr>
          <w:rFonts w:asciiTheme="majorHAnsi" w:hAnsiTheme="majorHAnsi"/>
          <w:sz w:val="22"/>
          <w:szCs w:val="22"/>
        </w:rPr>
        <w:t xml:space="preserve"> We used proportional hazards regression </w:t>
      </w:r>
      <w:r w:rsidR="004133B4" w:rsidRPr="005333B9">
        <w:rPr>
          <w:rFonts w:asciiTheme="majorHAnsi" w:hAnsiTheme="majorHAnsi"/>
          <w:sz w:val="22"/>
          <w:szCs w:val="22"/>
        </w:rPr>
        <w:t xml:space="preserve">to </w:t>
      </w:r>
      <w:r w:rsidRPr="005333B9">
        <w:rPr>
          <w:rFonts w:asciiTheme="majorHAnsi" w:hAnsiTheme="majorHAnsi"/>
          <w:sz w:val="22"/>
          <w:szCs w:val="22"/>
        </w:rPr>
        <w:t>model</w:t>
      </w:r>
      <w:r w:rsidR="00235BD7" w:rsidRPr="005333B9">
        <w:rPr>
          <w:rFonts w:asciiTheme="majorHAnsi" w:hAnsiTheme="majorHAnsi"/>
          <w:sz w:val="22"/>
          <w:szCs w:val="22"/>
        </w:rPr>
        <w:t xml:space="preserve"> </w:t>
      </w:r>
      <w:r w:rsidR="004133B4" w:rsidRPr="005333B9">
        <w:rPr>
          <w:rFonts w:asciiTheme="majorHAnsi" w:hAnsiTheme="majorHAnsi"/>
          <w:sz w:val="22"/>
          <w:szCs w:val="22"/>
        </w:rPr>
        <w:t>distributions of time to death of any cause among groups of</w:t>
      </w:r>
      <w:r w:rsidR="00235BD7" w:rsidRPr="005333B9">
        <w:rPr>
          <w:rFonts w:asciiTheme="majorHAnsi" w:hAnsiTheme="majorHAnsi"/>
          <w:sz w:val="22"/>
          <w:szCs w:val="22"/>
        </w:rPr>
        <w:t xml:space="preserve"> baseline serum bilirubin </w:t>
      </w:r>
      <w:r w:rsidR="004133B4" w:rsidRPr="005333B9">
        <w:rPr>
          <w:rFonts w:asciiTheme="majorHAnsi" w:hAnsiTheme="majorHAnsi"/>
          <w:sz w:val="22"/>
          <w:szCs w:val="22"/>
        </w:rPr>
        <w:t xml:space="preserve">levels. </w:t>
      </w:r>
      <w:r w:rsidR="005333B9" w:rsidRPr="005333B9">
        <w:rPr>
          <w:rFonts w:asciiTheme="majorHAnsi" w:hAnsiTheme="majorHAnsi"/>
          <w:sz w:val="22"/>
          <w:szCs w:val="22"/>
        </w:rPr>
        <w:t>The s</w:t>
      </w:r>
      <w:r w:rsidR="007D794A">
        <w:rPr>
          <w:rFonts w:asciiTheme="majorHAnsi" w:hAnsiTheme="majorHAnsi"/>
          <w:sz w:val="22"/>
          <w:szCs w:val="22"/>
        </w:rPr>
        <w:t>erum bilirubin level measur</w:t>
      </w:r>
      <w:r w:rsidR="0094247D">
        <w:rPr>
          <w:rFonts w:asciiTheme="majorHAnsi" w:hAnsiTheme="majorHAnsi"/>
          <w:sz w:val="22"/>
          <w:szCs w:val="22"/>
        </w:rPr>
        <w:t>e</w:t>
      </w:r>
      <w:r w:rsidR="007D794A">
        <w:rPr>
          <w:rFonts w:asciiTheme="majorHAnsi" w:hAnsiTheme="majorHAnsi"/>
          <w:sz w:val="22"/>
          <w:szCs w:val="22"/>
        </w:rPr>
        <w:t xml:space="preserve">ments used were in </w:t>
      </w:r>
      <w:r w:rsidR="004133B4" w:rsidRPr="005333B9">
        <w:rPr>
          <w:rFonts w:asciiTheme="majorHAnsi" w:hAnsiTheme="majorHAnsi"/>
          <w:sz w:val="22"/>
          <w:szCs w:val="22"/>
        </w:rPr>
        <w:t xml:space="preserve">continuous untransformed </w:t>
      </w:r>
      <w:r w:rsidR="007D794A">
        <w:rPr>
          <w:rFonts w:asciiTheme="majorHAnsi" w:hAnsiTheme="majorHAnsi"/>
          <w:sz w:val="22"/>
          <w:szCs w:val="22"/>
        </w:rPr>
        <w:t>format</w:t>
      </w:r>
      <w:r w:rsidR="004133B4" w:rsidRPr="005333B9">
        <w:rPr>
          <w:rFonts w:asciiTheme="majorHAnsi" w:hAnsiTheme="majorHAnsi"/>
          <w:sz w:val="22"/>
          <w:szCs w:val="22"/>
        </w:rPr>
        <w:t xml:space="preserve">. Hazard ratios from this regression, had 95% confidence intervals and two-sided p values generated using Wald statistics based </w:t>
      </w:r>
      <w:r w:rsidR="00BA6333">
        <w:rPr>
          <w:rFonts w:asciiTheme="majorHAnsi" w:hAnsiTheme="majorHAnsi"/>
          <w:sz w:val="22"/>
          <w:szCs w:val="22"/>
        </w:rPr>
        <w:t>on H</w:t>
      </w:r>
      <w:r w:rsidR="005333B9" w:rsidRPr="005333B9">
        <w:rPr>
          <w:rFonts w:asciiTheme="majorHAnsi" w:hAnsiTheme="majorHAnsi"/>
          <w:sz w:val="22"/>
          <w:szCs w:val="22"/>
        </w:rPr>
        <w:t>ube</w:t>
      </w:r>
      <w:r w:rsidR="00BA6333">
        <w:rPr>
          <w:rFonts w:asciiTheme="majorHAnsi" w:hAnsiTheme="majorHAnsi"/>
          <w:sz w:val="22"/>
          <w:szCs w:val="22"/>
        </w:rPr>
        <w:t>r</w:t>
      </w:r>
      <w:r w:rsidR="005333B9" w:rsidRPr="005333B9">
        <w:rPr>
          <w:rFonts w:asciiTheme="majorHAnsi" w:hAnsiTheme="majorHAnsi"/>
          <w:sz w:val="22"/>
          <w:szCs w:val="22"/>
        </w:rPr>
        <w:t xml:space="preserve">-White sandwich </w:t>
      </w:r>
      <w:proofErr w:type="gramStart"/>
      <w:r w:rsidR="005333B9" w:rsidRPr="005333B9">
        <w:rPr>
          <w:rFonts w:asciiTheme="majorHAnsi" w:hAnsiTheme="majorHAnsi"/>
          <w:sz w:val="22"/>
          <w:szCs w:val="22"/>
        </w:rPr>
        <w:t>estimator.</w:t>
      </w:r>
      <w:proofErr w:type="gramEnd"/>
      <w:r w:rsidR="005333B9" w:rsidRPr="005333B9">
        <w:rPr>
          <w:rFonts w:asciiTheme="majorHAnsi" w:hAnsiTheme="majorHAnsi"/>
          <w:sz w:val="22"/>
          <w:szCs w:val="22"/>
        </w:rPr>
        <w:t xml:space="preserve"> </w:t>
      </w:r>
      <w:r w:rsidR="0094247D">
        <w:rPr>
          <w:rFonts w:asciiTheme="majorHAnsi" w:hAnsiTheme="majorHAnsi"/>
          <w:sz w:val="22"/>
          <w:szCs w:val="22"/>
        </w:rPr>
        <w:t xml:space="preserve">The HR estimates and 95% CI generated were </w:t>
      </w:r>
      <w:proofErr w:type="spellStart"/>
      <w:r w:rsidR="0094247D">
        <w:rPr>
          <w:rFonts w:asciiTheme="majorHAnsi" w:hAnsiTheme="majorHAnsi"/>
          <w:sz w:val="22"/>
          <w:szCs w:val="22"/>
        </w:rPr>
        <w:t>exponentiated</w:t>
      </w:r>
      <w:proofErr w:type="spellEnd"/>
      <w:r w:rsidR="0094247D">
        <w:rPr>
          <w:rFonts w:asciiTheme="majorHAnsi" w:hAnsiTheme="majorHAnsi"/>
          <w:sz w:val="22"/>
          <w:szCs w:val="22"/>
        </w:rPr>
        <w:t xml:space="preserve"> by a factor of 10 to make inference based on a 10mg/</w:t>
      </w:r>
      <w:proofErr w:type="spellStart"/>
      <w:r w:rsidR="0094247D">
        <w:rPr>
          <w:rFonts w:asciiTheme="majorHAnsi" w:hAnsiTheme="majorHAnsi"/>
          <w:sz w:val="22"/>
          <w:szCs w:val="22"/>
        </w:rPr>
        <w:t>dL</w:t>
      </w:r>
      <w:proofErr w:type="spellEnd"/>
      <w:r w:rsidR="0094247D">
        <w:rPr>
          <w:rFonts w:asciiTheme="majorHAnsi" w:hAnsiTheme="majorHAnsi"/>
          <w:sz w:val="22"/>
          <w:szCs w:val="22"/>
        </w:rPr>
        <w:t xml:space="preserve"> difference in baseline serum bilirubin levels.</w:t>
      </w:r>
    </w:p>
    <w:p w14:paraId="0C6D30D4" w14:textId="550114E7" w:rsidR="00A459C8" w:rsidRPr="0094247D" w:rsidRDefault="00F538AE" w:rsidP="002777EC">
      <w:pPr>
        <w:numPr>
          <w:ilvl w:val="1"/>
          <w:numId w:val="19"/>
        </w:numPr>
        <w:autoSpaceDE w:val="0"/>
        <w:autoSpaceDN w:val="0"/>
        <w:adjustRightInd w:val="0"/>
        <w:spacing w:after="120"/>
        <w:rPr>
          <w:color w:val="0000FF"/>
          <w:sz w:val="22"/>
          <w:szCs w:val="22"/>
        </w:rPr>
      </w:pPr>
      <w:r w:rsidRPr="0094247D">
        <w:rPr>
          <w:color w:val="0000FF"/>
          <w:sz w:val="22"/>
          <w:szCs w:val="22"/>
        </w:rPr>
        <w:t xml:space="preserve">Include </w:t>
      </w:r>
      <w:r w:rsidR="002777EC" w:rsidRPr="0094247D">
        <w:rPr>
          <w:color w:val="0000FF"/>
          <w:sz w:val="22"/>
          <w:szCs w:val="22"/>
        </w:rPr>
        <w:t>a</w:t>
      </w:r>
      <w:r w:rsidRPr="0094247D">
        <w:rPr>
          <w:color w:val="0000FF"/>
          <w:sz w:val="22"/>
          <w:szCs w:val="22"/>
        </w:rPr>
        <w:t xml:space="preserve"> </w:t>
      </w:r>
      <w:r w:rsidR="00A620A3" w:rsidRPr="0094247D">
        <w:rPr>
          <w:color w:val="0000FF"/>
          <w:sz w:val="22"/>
          <w:szCs w:val="22"/>
        </w:rPr>
        <w:t xml:space="preserve">full report of your </w:t>
      </w:r>
      <w:r w:rsidR="002777EC" w:rsidRPr="0094247D">
        <w:rPr>
          <w:color w:val="0000FF"/>
          <w:sz w:val="22"/>
          <w:szCs w:val="22"/>
        </w:rPr>
        <w:t>inference about the association</w:t>
      </w:r>
      <w:r w:rsidRPr="0094247D">
        <w:rPr>
          <w:color w:val="0000FF"/>
          <w:sz w:val="22"/>
          <w:szCs w:val="22"/>
        </w:rPr>
        <w:t>.</w:t>
      </w:r>
      <w:commentRangeStart w:id="4"/>
      <w:r w:rsidR="00FC33E3">
        <w:rPr>
          <w:color w:val="0000FF"/>
          <w:sz w:val="22"/>
          <w:szCs w:val="22"/>
        </w:rPr>
        <w:t xml:space="preserve"> </w:t>
      </w:r>
      <w:commentRangeEnd w:id="4"/>
      <w:r w:rsidR="00FC33E3">
        <w:rPr>
          <w:rStyle w:val="CommentReference"/>
        </w:rPr>
        <w:commentReference w:id="4"/>
      </w:r>
    </w:p>
    <w:p w14:paraId="4E2733A0" w14:textId="1C473241" w:rsidR="005A094B" w:rsidRPr="00E541F6" w:rsidRDefault="00AA54BE" w:rsidP="0091637F">
      <w:pPr>
        <w:autoSpaceDE w:val="0"/>
        <w:autoSpaceDN w:val="0"/>
        <w:adjustRightInd w:val="0"/>
        <w:spacing w:after="120"/>
        <w:ind w:left="1440"/>
        <w:jc w:val="both"/>
        <w:rPr>
          <w:rFonts w:asciiTheme="majorHAnsi" w:hAnsiTheme="majorHAnsi"/>
          <w:sz w:val="22"/>
          <w:szCs w:val="22"/>
        </w:rPr>
      </w:pPr>
      <w:r w:rsidRPr="00AA54BE">
        <w:rPr>
          <w:rFonts w:asciiTheme="majorHAnsi" w:hAnsiTheme="majorHAnsi"/>
          <w:b/>
          <w:sz w:val="22"/>
          <w:szCs w:val="22"/>
          <w:u w:val="single"/>
        </w:rPr>
        <w:t>Inference:</w:t>
      </w:r>
      <w:r>
        <w:rPr>
          <w:rFonts w:asciiTheme="majorHAnsi" w:hAnsiTheme="majorHAnsi"/>
          <w:sz w:val="22"/>
          <w:szCs w:val="22"/>
        </w:rPr>
        <w:t xml:space="preserve"> </w:t>
      </w:r>
      <w:r w:rsidR="004E06E1" w:rsidRPr="004E06E1">
        <w:rPr>
          <w:rFonts w:asciiTheme="majorHAnsi" w:hAnsiTheme="majorHAnsi"/>
          <w:sz w:val="22"/>
          <w:szCs w:val="22"/>
        </w:rPr>
        <w:t>The 418 study participants had a mean baseline serum bilirubin level of 3.22 mg/</w:t>
      </w:r>
      <w:proofErr w:type="spellStart"/>
      <w:r w:rsidR="004E06E1" w:rsidRPr="004E06E1">
        <w:rPr>
          <w:rFonts w:asciiTheme="majorHAnsi" w:hAnsiTheme="majorHAnsi"/>
          <w:sz w:val="22"/>
          <w:szCs w:val="22"/>
        </w:rPr>
        <w:t>dL</w:t>
      </w:r>
      <w:proofErr w:type="spellEnd"/>
      <w:r w:rsidR="004E06E1" w:rsidRPr="004E06E1">
        <w:rPr>
          <w:rFonts w:asciiTheme="majorHAnsi" w:hAnsiTheme="majorHAnsi"/>
          <w:sz w:val="22"/>
          <w:szCs w:val="22"/>
        </w:rPr>
        <w:t xml:space="preserve"> with a standard deviation of 4.41mg/</w:t>
      </w:r>
      <w:proofErr w:type="spellStart"/>
      <w:r w:rsidR="004E06E1" w:rsidRPr="004E06E1">
        <w:rPr>
          <w:rFonts w:asciiTheme="majorHAnsi" w:hAnsiTheme="majorHAnsi"/>
          <w:sz w:val="22"/>
          <w:szCs w:val="22"/>
        </w:rPr>
        <w:t>dL</w:t>
      </w:r>
      <w:proofErr w:type="spellEnd"/>
      <w:r w:rsidR="004E06E1" w:rsidRPr="004E06E1">
        <w:rPr>
          <w:rFonts w:asciiTheme="majorHAnsi" w:hAnsiTheme="majorHAnsi"/>
          <w:sz w:val="22"/>
          <w:szCs w:val="22"/>
        </w:rPr>
        <w:t xml:space="preserve"> and a range from 0.3 to 28mg/</w:t>
      </w:r>
      <w:proofErr w:type="spellStart"/>
      <w:r w:rsidR="004E06E1" w:rsidRPr="004E06E1">
        <w:rPr>
          <w:rFonts w:asciiTheme="majorHAnsi" w:hAnsiTheme="majorHAnsi"/>
          <w:sz w:val="22"/>
          <w:szCs w:val="22"/>
        </w:rPr>
        <w:t>dL</w:t>
      </w:r>
      <w:proofErr w:type="spellEnd"/>
      <w:r w:rsidR="004E06E1" w:rsidRPr="004E06E1">
        <w:rPr>
          <w:rFonts w:asciiTheme="majorHAnsi" w:hAnsiTheme="majorHAnsi"/>
          <w:sz w:val="22"/>
          <w:szCs w:val="22"/>
        </w:rPr>
        <w:t xml:space="preserve">. The proportional hazards regression analysis showed </w:t>
      </w:r>
      <w:r w:rsidR="00DE6331" w:rsidRPr="004E06E1">
        <w:rPr>
          <w:rFonts w:asciiTheme="majorHAnsi" w:hAnsiTheme="majorHAnsi"/>
          <w:sz w:val="22"/>
          <w:szCs w:val="22"/>
        </w:rPr>
        <w:t>that</w:t>
      </w:r>
      <w:r w:rsidR="004E06E1" w:rsidRPr="004E06E1">
        <w:rPr>
          <w:rFonts w:asciiTheme="majorHAnsi" w:hAnsiTheme="majorHAnsi"/>
          <w:sz w:val="22"/>
          <w:szCs w:val="22"/>
        </w:rPr>
        <w:t xml:space="preserve"> with a</w:t>
      </w:r>
      <w:r w:rsidR="00315640">
        <w:rPr>
          <w:rFonts w:asciiTheme="majorHAnsi" w:hAnsiTheme="majorHAnsi"/>
          <w:sz w:val="22"/>
          <w:szCs w:val="22"/>
        </w:rPr>
        <w:t xml:space="preserve"> </w:t>
      </w:r>
      <w:proofErr w:type="gramStart"/>
      <w:r w:rsidR="00DE6331" w:rsidRPr="004E06E1">
        <w:rPr>
          <w:rFonts w:asciiTheme="majorHAnsi" w:hAnsiTheme="majorHAnsi"/>
          <w:sz w:val="22"/>
          <w:szCs w:val="22"/>
        </w:rPr>
        <w:t>1</w:t>
      </w:r>
      <w:r w:rsidR="00A81A75" w:rsidRPr="004E06E1">
        <w:rPr>
          <w:rFonts w:asciiTheme="majorHAnsi" w:hAnsiTheme="majorHAnsi"/>
          <w:sz w:val="22"/>
          <w:szCs w:val="22"/>
        </w:rPr>
        <w:t xml:space="preserve">0 </w:t>
      </w:r>
      <w:r w:rsidR="00DE6331" w:rsidRPr="004E06E1">
        <w:rPr>
          <w:rFonts w:asciiTheme="majorHAnsi" w:hAnsiTheme="majorHAnsi"/>
          <w:sz w:val="22"/>
          <w:szCs w:val="22"/>
        </w:rPr>
        <w:t>mg/</w:t>
      </w:r>
      <w:proofErr w:type="gramEnd"/>
      <w:r w:rsidR="00DE6331" w:rsidRPr="004E06E1">
        <w:rPr>
          <w:rFonts w:asciiTheme="majorHAnsi" w:hAnsiTheme="majorHAnsi"/>
          <w:sz w:val="22"/>
          <w:szCs w:val="22"/>
        </w:rPr>
        <w:t>dl unit</w:t>
      </w:r>
      <w:r w:rsidR="004E06E1" w:rsidRPr="004E06E1">
        <w:rPr>
          <w:rFonts w:asciiTheme="majorHAnsi" w:hAnsiTheme="majorHAnsi"/>
          <w:sz w:val="22"/>
          <w:szCs w:val="22"/>
        </w:rPr>
        <w:t xml:space="preserve"> difference in baseline serum bilirubin, </w:t>
      </w:r>
      <w:r w:rsidR="00DE6331" w:rsidRPr="004E06E1">
        <w:rPr>
          <w:rFonts w:asciiTheme="majorHAnsi" w:hAnsiTheme="majorHAnsi"/>
          <w:sz w:val="22"/>
          <w:szCs w:val="22"/>
        </w:rPr>
        <w:t xml:space="preserve">the risk of </w:t>
      </w:r>
      <w:r>
        <w:rPr>
          <w:rFonts w:asciiTheme="majorHAnsi" w:hAnsiTheme="majorHAnsi"/>
          <w:sz w:val="22"/>
          <w:szCs w:val="22"/>
        </w:rPr>
        <w:t xml:space="preserve">instantaneous </w:t>
      </w:r>
      <w:r w:rsidR="00DE6331" w:rsidRPr="004E06E1">
        <w:rPr>
          <w:rFonts w:asciiTheme="majorHAnsi" w:hAnsiTheme="majorHAnsi"/>
          <w:sz w:val="22"/>
          <w:szCs w:val="22"/>
        </w:rPr>
        <w:t xml:space="preserve">death is </w:t>
      </w:r>
      <w:r w:rsidR="007D794A">
        <w:rPr>
          <w:rFonts w:asciiTheme="majorHAnsi" w:hAnsiTheme="majorHAnsi"/>
          <w:sz w:val="22"/>
          <w:szCs w:val="22"/>
        </w:rPr>
        <w:t xml:space="preserve">4.12 fold </w:t>
      </w:r>
      <w:r w:rsidR="00DE6331" w:rsidRPr="004E06E1">
        <w:rPr>
          <w:rFonts w:asciiTheme="majorHAnsi" w:hAnsiTheme="majorHAnsi"/>
          <w:sz w:val="22"/>
          <w:szCs w:val="22"/>
        </w:rPr>
        <w:t xml:space="preserve">higher in the group with the higher bilirubin. </w:t>
      </w:r>
      <w:r w:rsidR="00A81A75" w:rsidRPr="004E06E1">
        <w:rPr>
          <w:rFonts w:asciiTheme="majorHAnsi" w:hAnsiTheme="majorHAnsi"/>
          <w:sz w:val="22"/>
          <w:szCs w:val="22"/>
        </w:rPr>
        <w:t xml:space="preserve">The 95% CI indicate that this estimate will not be unusual if the true risk is anywhere between </w:t>
      </w:r>
      <w:r w:rsidR="007D794A" w:rsidRPr="007D794A">
        <w:rPr>
          <w:rFonts w:asciiTheme="majorHAnsi" w:hAnsiTheme="majorHAnsi"/>
          <w:sz w:val="22"/>
          <w:szCs w:val="22"/>
        </w:rPr>
        <w:t xml:space="preserve">3.13 and 5.45 fold </w:t>
      </w:r>
      <w:r w:rsidR="00A81A75" w:rsidRPr="004E06E1">
        <w:rPr>
          <w:rFonts w:asciiTheme="majorHAnsi" w:hAnsiTheme="majorHAnsi"/>
          <w:sz w:val="22"/>
          <w:szCs w:val="22"/>
        </w:rPr>
        <w:t xml:space="preserve">higher </w:t>
      </w:r>
      <w:r w:rsidR="004E06E1" w:rsidRPr="004E06E1">
        <w:rPr>
          <w:rFonts w:asciiTheme="majorHAnsi" w:hAnsiTheme="majorHAnsi"/>
          <w:sz w:val="22"/>
          <w:szCs w:val="22"/>
        </w:rPr>
        <w:t xml:space="preserve">in the group with higher baseline serum bilirubin levels. This </w:t>
      </w:r>
      <w:r w:rsidR="00A81A75" w:rsidRPr="004E06E1">
        <w:rPr>
          <w:rFonts w:asciiTheme="majorHAnsi" w:hAnsiTheme="majorHAnsi"/>
          <w:sz w:val="22"/>
          <w:szCs w:val="22"/>
        </w:rPr>
        <w:t>estimate is</w:t>
      </w:r>
      <w:r w:rsidR="004E06E1" w:rsidRPr="004E06E1">
        <w:rPr>
          <w:rFonts w:asciiTheme="majorHAnsi" w:hAnsiTheme="majorHAnsi"/>
          <w:sz w:val="22"/>
          <w:szCs w:val="22"/>
        </w:rPr>
        <w:t xml:space="preserve"> statistically</w:t>
      </w:r>
      <w:r w:rsidR="00A81A75" w:rsidRPr="004E06E1">
        <w:rPr>
          <w:rFonts w:asciiTheme="majorHAnsi" w:hAnsiTheme="majorHAnsi"/>
          <w:sz w:val="22"/>
          <w:szCs w:val="22"/>
        </w:rPr>
        <w:t xml:space="preserve"> significant</w:t>
      </w:r>
      <w:r w:rsidR="004E06E1" w:rsidRPr="004E06E1">
        <w:rPr>
          <w:rFonts w:asciiTheme="majorHAnsi" w:hAnsiTheme="majorHAnsi"/>
          <w:sz w:val="22"/>
          <w:szCs w:val="22"/>
        </w:rPr>
        <w:t xml:space="preserve"> with a </w:t>
      </w:r>
      <w:r w:rsidR="008F60A0" w:rsidRPr="004E06E1">
        <w:rPr>
          <w:rFonts w:asciiTheme="majorHAnsi" w:hAnsiTheme="majorHAnsi"/>
          <w:sz w:val="22"/>
          <w:szCs w:val="22"/>
        </w:rPr>
        <w:t>two-sided</w:t>
      </w:r>
      <w:r w:rsidR="004E06E1" w:rsidRPr="004E06E1">
        <w:rPr>
          <w:rFonts w:asciiTheme="majorHAnsi" w:hAnsiTheme="majorHAnsi"/>
          <w:sz w:val="22"/>
          <w:szCs w:val="22"/>
        </w:rPr>
        <w:t xml:space="preserve"> p value</w:t>
      </w:r>
      <w:r w:rsidR="00A81A75" w:rsidRPr="004E06E1">
        <w:rPr>
          <w:rFonts w:asciiTheme="majorHAnsi" w:hAnsiTheme="majorHAnsi"/>
          <w:sz w:val="22"/>
          <w:szCs w:val="22"/>
        </w:rPr>
        <w:t xml:space="preserve"> (P&lt;0.0001)</w:t>
      </w:r>
      <w:r w:rsidR="007D794A">
        <w:rPr>
          <w:rFonts w:asciiTheme="majorHAnsi" w:hAnsiTheme="majorHAnsi"/>
          <w:sz w:val="22"/>
          <w:szCs w:val="22"/>
        </w:rPr>
        <w:t xml:space="preserve"> thus rejecting the null hypothesis that states that the risk of death from any cause is not associated with baseline serum bilirubin levels.</w:t>
      </w:r>
    </w:p>
    <w:p w14:paraId="50F454BF" w14:textId="77777777" w:rsidR="005A094B" w:rsidRPr="005A094B" w:rsidRDefault="005A094B" w:rsidP="005A094B">
      <w:pPr>
        <w:autoSpaceDE w:val="0"/>
        <w:autoSpaceDN w:val="0"/>
        <w:adjustRightInd w:val="0"/>
        <w:spacing w:after="120"/>
        <w:ind w:left="1440" w:firstLine="720"/>
        <w:rPr>
          <w:rFonts w:ascii="Courier" w:hAnsi="Courier"/>
          <w:sz w:val="16"/>
          <w:szCs w:val="16"/>
        </w:rPr>
      </w:pPr>
    </w:p>
    <w:p w14:paraId="543AEB1F" w14:textId="77777777" w:rsidR="00A620A3" w:rsidRPr="0094247D" w:rsidRDefault="00A620A3" w:rsidP="002777EC">
      <w:pPr>
        <w:numPr>
          <w:ilvl w:val="0"/>
          <w:numId w:val="19"/>
        </w:numPr>
        <w:autoSpaceDE w:val="0"/>
        <w:autoSpaceDN w:val="0"/>
        <w:adjustRightInd w:val="0"/>
        <w:spacing w:after="120"/>
        <w:rPr>
          <w:color w:val="0000FF"/>
          <w:sz w:val="22"/>
          <w:szCs w:val="22"/>
        </w:rPr>
      </w:pPr>
      <w:r w:rsidRPr="0094247D">
        <w:rPr>
          <w:color w:val="0000FF"/>
          <w:sz w:val="22"/>
          <w:szCs w:val="22"/>
        </w:rPr>
        <w:t xml:space="preserve">Perform a statistical regression analysis evaluating an association between serum </w:t>
      </w:r>
      <w:r w:rsidR="002777EC" w:rsidRPr="0094247D">
        <w:rPr>
          <w:color w:val="0000FF"/>
          <w:sz w:val="22"/>
          <w:szCs w:val="22"/>
        </w:rPr>
        <w:t>bilirubin</w:t>
      </w:r>
      <w:r w:rsidRPr="0094247D">
        <w:rPr>
          <w:color w:val="0000FF"/>
          <w:sz w:val="22"/>
          <w:szCs w:val="22"/>
        </w:rPr>
        <w:t xml:space="preserve"> and all-cause mortality by comparing the instantaneous risk (hazard) of death over the entire period of observation across groups defined by serum </w:t>
      </w:r>
      <w:r w:rsidR="002777EC" w:rsidRPr="0094247D">
        <w:rPr>
          <w:color w:val="0000FF"/>
          <w:sz w:val="22"/>
          <w:szCs w:val="22"/>
        </w:rPr>
        <w:t>bilirubin</w:t>
      </w:r>
      <w:r w:rsidRPr="0094247D">
        <w:rPr>
          <w:color w:val="0000FF"/>
          <w:sz w:val="22"/>
          <w:szCs w:val="22"/>
        </w:rPr>
        <w:t xml:space="preserve"> modeled as a continuous </w:t>
      </w:r>
      <w:r w:rsidR="00474EF6" w:rsidRPr="0094247D">
        <w:rPr>
          <w:color w:val="0000FF"/>
          <w:sz w:val="22"/>
          <w:szCs w:val="22"/>
        </w:rPr>
        <w:t xml:space="preserve">logarithmically transformed </w:t>
      </w:r>
      <w:r w:rsidRPr="0094247D">
        <w:rPr>
          <w:color w:val="0000FF"/>
          <w:sz w:val="22"/>
          <w:szCs w:val="22"/>
        </w:rPr>
        <w:t xml:space="preserve">variable. </w:t>
      </w:r>
    </w:p>
    <w:p w14:paraId="1CB32B73" w14:textId="0BD579C5" w:rsidR="007D794A" w:rsidRPr="004751ED" w:rsidRDefault="007D794A" w:rsidP="0091637F">
      <w:pPr>
        <w:pStyle w:val="ListParagraph"/>
        <w:autoSpaceDE w:val="0"/>
        <w:autoSpaceDN w:val="0"/>
        <w:adjustRightInd w:val="0"/>
        <w:spacing w:after="120"/>
        <w:jc w:val="both"/>
        <w:rPr>
          <w:rFonts w:asciiTheme="majorHAnsi" w:hAnsiTheme="majorHAnsi"/>
          <w:sz w:val="22"/>
          <w:szCs w:val="22"/>
        </w:rPr>
      </w:pPr>
      <w:r w:rsidRPr="007D794A">
        <w:rPr>
          <w:rFonts w:asciiTheme="majorHAnsi" w:hAnsiTheme="majorHAnsi"/>
          <w:b/>
          <w:sz w:val="22"/>
          <w:szCs w:val="22"/>
          <w:u w:val="single"/>
        </w:rPr>
        <w:t>Method:</w:t>
      </w:r>
      <w:r w:rsidRPr="007D794A">
        <w:rPr>
          <w:rFonts w:asciiTheme="majorHAnsi" w:hAnsiTheme="majorHAnsi"/>
          <w:sz w:val="22"/>
          <w:szCs w:val="22"/>
        </w:rPr>
        <w:t xml:space="preserve"> </w:t>
      </w:r>
      <w:r>
        <w:rPr>
          <w:rFonts w:asciiTheme="majorHAnsi" w:hAnsiTheme="majorHAnsi"/>
          <w:sz w:val="22"/>
          <w:szCs w:val="22"/>
        </w:rPr>
        <w:t xml:space="preserve">Baseline serum bilirubin was log transformed to </w:t>
      </w:r>
      <w:r w:rsidR="00952A5D">
        <w:rPr>
          <w:rFonts w:asciiTheme="majorHAnsi" w:hAnsiTheme="majorHAnsi"/>
          <w:sz w:val="22"/>
          <w:szCs w:val="22"/>
        </w:rPr>
        <w:t xml:space="preserve">the </w:t>
      </w:r>
      <w:r>
        <w:rPr>
          <w:rFonts w:asciiTheme="majorHAnsi" w:hAnsiTheme="majorHAnsi"/>
          <w:sz w:val="22"/>
          <w:szCs w:val="22"/>
        </w:rPr>
        <w:t xml:space="preserve">base of two. </w:t>
      </w:r>
      <w:r w:rsidRPr="007D794A">
        <w:rPr>
          <w:rFonts w:asciiTheme="majorHAnsi" w:hAnsiTheme="majorHAnsi"/>
          <w:sz w:val="22"/>
          <w:szCs w:val="22"/>
        </w:rPr>
        <w:t>We used proportional hazards regression to model distributions of time to death of any cause among groups of baseline serum</w:t>
      </w:r>
      <w:r w:rsidR="00BA6333">
        <w:rPr>
          <w:rFonts w:asciiTheme="majorHAnsi" w:hAnsiTheme="majorHAnsi"/>
          <w:sz w:val="22"/>
          <w:szCs w:val="22"/>
        </w:rPr>
        <w:t xml:space="preserve"> log transformed</w:t>
      </w:r>
      <w:r w:rsidRPr="007D794A">
        <w:rPr>
          <w:rFonts w:asciiTheme="majorHAnsi" w:hAnsiTheme="majorHAnsi"/>
          <w:sz w:val="22"/>
          <w:szCs w:val="22"/>
        </w:rPr>
        <w:t xml:space="preserve"> bilirubin levels</w:t>
      </w:r>
      <w:r w:rsidR="00BA6333">
        <w:rPr>
          <w:rFonts w:asciiTheme="majorHAnsi" w:hAnsiTheme="majorHAnsi"/>
          <w:sz w:val="22"/>
          <w:szCs w:val="22"/>
        </w:rPr>
        <w:t xml:space="preserve">. </w:t>
      </w:r>
      <w:r w:rsidRPr="007D794A">
        <w:rPr>
          <w:rFonts w:asciiTheme="majorHAnsi" w:hAnsiTheme="majorHAnsi"/>
          <w:sz w:val="22"/>
          <w:szCs w:val="22"/>
        </w:rPr>
        <w:t xml:space="preserve">Hazard ratios from this regression, had 95% confidence intervals and two-sided p values generated </w:t>
      </w:r>
      <w:r w:rsidR="00BA6333">
        <w:rPr>
          <w:rFonts w:asciiTheme="majorHAnsi" w:hAnsiTheme="majorHAnsi"/>
          <w:sz w:val="22"/>
          <w:szCs w:val="22"/>
        </w:rPr>
        <w:t>using Wald statistics based on H</w:t>
      </w:r>
      <w:r w:rsidRPr="007D794A">
        <w:rPr>
          <w:rFonts w:asciiTheme="majorHAnsi" w:hAnsiTheme="majorHAnsi"/>
          <w:sz w:val="22"/>
          <w:szCs w:val="22"/>
        </w:rPr>
        <w:t>ube</w:t>
      </w:r>
      <w:r w:rsidR="00BA6333">
        <w:rPr>
          <w:rFonts w:asciiTheme="majorHAnsi" w:hAnsiTheme="majorHAnsi"/>
          <w:sz w:val="22"/>
          <w:szCs w:val="22"/>
        </w:rPr>
        <w:t>r</w:t>
      </w:r>
      <w:r w:rsidRPr="007D794A">
        <w:rPr>
          <w:rFonts w:asciiTheme="majorHAnsi" w:hAnsiTheme="majorHAnsi"/>
          <w:sz w:val="22"/>
          <w:szCs w:val="22"/>
        </w:rPr>
        <w:t xml:space="preserve">-White sandwich </w:t>
      </w:r>
      <w:proofErr w:type="gramStart"/>
      <w:r w:rsidRPr="007D794A">
        <w:rPr>
          <w:rFonts w:asciiTheme="majorHAnsi" w:hAnsiTheme="majorHAnsi"/>
          <w:sz w:val="22"/>
          <w:szCs w:val="22"/>
        </w:rPr>
        <w:t>estimator.</w:t>
      </w:r>
      <w:proofErr w:type="gramEnd"/>
      <w:r w:rsidRPr="007D794A">
        <w:rPr>
          <w:rFonts w:asciiTheme="majorHAnsi" w:hAnsiTheme="majorHAnsi"/>
          <w:sz w:val="22"/>
          <w:szCs w:val="22"/>
        </w:rPr>
        <w:t xml:space="preserve"> </w:t>
      </w:r>
    </w:p>
    <w:p w14:paraId="735AE43E" w14:textId="77777777" w:rsidR="00E01E38" w:rsidRPr="004751ED" w:rsidRDefault="00E01E38" w:rsidP="002777EC">
      <w:pPr>
        <w:numPr>
          <w:ilvl w:val="1"/>
          <w:numId w:val="19"/>
        </w:numPr>
        <w:autoSpaceDE w:val="0"/>
        <w:autoSpaceDN w:val="0"/>
        <w:adjustRightInd w:val="0"/>
        <w:spacing w:after="120"/>
        <w:rPr>
          <w:color w:val="0000FF"/>
          <w:sz w:val="22"/>
          <w:szCs w:val="22"/>
        </w:rPr>
      </w:pPr>
      <w:r w:rsidRPr="004751ED">
        <w:rPr>
          <w:color w:val="0000FF"/>
          <w:sz w:val="22"/>
          <w:szCs w:val="22"/>
        </w:rPr>
        <w:t xml:space="preserve">Why might this analysis be preferred </w:t>
      </w:r>
      <w:r w:rsidRPr="004751ED">
        <w:rPr>
          <w:i/>
          <w:iCs/>
          <w:color w:val="0000FF"/>
          <w:sz w:val="22"/>
          <w:szCs w:val="22"/>
        </w:rPr>
        <w:t>a priori?</w:t>
      </w:r>
      <w:r w:rsidR="00FC33E3">
        <w:rPr>
          <w:rStyle w:val="CommentReference"/>
        </w:rPr>
        <w:commentReference w:id="5"/>
      </w:r>
    </w:p>
    <w:p w14:paraId="6210D5A7" w14:textId="50E87E62" w:rsidR="00E541F6" w:rsidRPr="004751ED" w:rsidRDefault="004751ED" w:rsidP="0091637F">
      <w:pPr>
        <w:autoSpaceDE w:val="0"/>
        <w:autoSpaceDN w:val="0"/>
        <w:adjustRightInd w:val="0"/>
        <w:spacing w:after="120"/>
        <w:ind w:left="1080"/>
        <w:jc w:val="both"/>
        <w:rPr>
          <w:rFonts w:asciiTheme="majorHAnsi" w:hAnsiTheme="majorHAnsi"/>
          <w:sz w:val="22"/>
          <w:szCs w:val="22"/>
        </w:rPr>
      </w:pPr>
      <w:r w:rsidRPr="004751ED">
        <w:rPr>
          <w:rFonts w:asciiTheme="majorHAnsi" w:hAnsiTheme="majorHAnsi"/>
          <w:sz w:val="22"/>
          <w:szCs w:val="22"/>
        </w:rPr>
        <w:t>The s</w:t>
      </w:r>
      <w:r w:rsidR="00E541F6" w:rsidRPr="004751ED">
        <w:rPr>
          <w:rFonts w:asciiTheme="majorHAnsi" w:hAnsiTheme="majorHAnsi"/>
          <w:sz w:val="22"/>
          <w:szCs w:val="22"/>
        </w:rPr>
        <w:t>erum bilirubin levels</w:t>
      </w:r>
      <w:r w:rsidRPr="004751ED">
        <w:rPr>
          <w:rFonts w:asciiTheme="majorHAnsi" w:hAnsiTheme="majorHAnsi"/>
          <w:sz w:val="22"/>
          <w:szCs w:val="22"/>
        </w:rPr>
        <w:t xml:space="preserve"> </w:t>
      </w:r>
      <w:r w:rsidR="00E541F6" w:rsidRPr="004751ED">
        <w:rPr>
          <w:rFonts w:asciiTheme="majorHAnsi" w:hAnsiTheme="majorHAnsi"/>
          <w:sz w:val="22"/>
          <w:szCs w:val="22"/>
        </w:rPr>
        <w:t xml:space="preserve">increase in a multiplicative scale in pathological </w:t>
      </w:r>
      <w:r w:rsidR="007D794A" w:rsidRPr="004751ED">
        <w:rPr>
          <w:rFonts w:asciiTheme="majorHAnsi" w:hAnsiTheme="majorHAnsi"/>
          <w:sz w:val="22"/>
          <w:szCs w:val="22"/>
        </w:rPr>
        <w:t>states</w:t>
      </w:r>
      <w:r w:rsidRPr="004751ED">
        <w:rPr>
          <w:rFonts w:asciiTheme="majorHAnsi" w:hAnsiTheme="majorHAnsi"/>
          <w:sz w:val="22"/>
          <w:szCs w:val="22"/>
        </w:rPr>
        <w:t xml:space="preserve"> </w:t>
      </w:r>
      <w:r>
        <w:rPr>
          <w:rFonts w:asciiTheme="majorHAnsi" w:hAnsiTheme="majorHAnsi"/>
          <w:sz w:val="22"/>
          <w:szCs w:val="22"/>
        </w:rPr>
        <w:t>per</w:t>
      </w:r>
      <w:r w:rsidR="0091637F">
        <w:rPr>
          <w:rFonts w:asciiTheme="majorHAnsi" w:hAnsiTheme="majorHAnsi"/>
          <w:sz w:val="22"/>
          <w:szCs w:val="22"/>
        </w:rPr>
        <w:t xml:space="preserve"> empirical data. The study p</w:t>
      </w:r>
      <w:r w:rsidRPr="004751ED">
        <w:rPr>
          <w:rFonts w:asciiTheme="majorHAnsi" w:hAnsiTheme="majorHAnsi"/>
          <w:sz w:val="22"/>
          <w:szCs w:val="22"/>
        </w:rPr>
        <w:t xml:space="preserve">opulation all have liver disease and </w:t>
      </w:r>
      <w:r>
        <w:rPr>
          <w:rFonts w:asciiTheme="majorHAnsi" w:hAnsiTheme="majorHAnsi"/>
          <w:sz w:val="22"/>
          <w:szCs w:val="22"/>
        </w:rPr>
        <w:t xml:space="preserve">will </w:t>
      </w:r>
      <w:r w:rsidR="0091637F">
        <w:rPr>
          <w:rFonts w:asciiTheme="majorHAnsi" w:hAnsiTheme="majorHAnsi"/>
          <w:sz w:val="22"/>
          <w:szCs w:val="22"/>
        </w:rPr>
        <w:t xml:space="preserve">therefore </w:t>
      </w:r>
      <w:r w:rsidRPr="004751ED">
        <w:rPr>
          <w:rFonts w:asciiTheme="majorHAnsi" w:hAnsiTheme="majorHAnsi"/>
          <w:sz w:val="22"/>
          <w:szCs w:val="22"/>
        </w:rPr>
        <w:t xml:space="preserve">expect multiplicative differences </w:t>
      </w:r>
      <w:r w:rsidR="0091637F">
        <w:rPr>
          <w:rFonts w:asciiTheme="majorHAnsi" w:hAnsiTheme="majorHAnsi"/>
          <w:sz w:val="22"/>
          <w:szCs w:val="22"/>
        </w:rPr>
        <w:t xml:space="preserve">between groups </w:t>
      </w:r>
      <w:r w:rsidRPr="004751ED">
        <w:rPr>
          <w:rFonts w:asciiTheme="majorHAnsi" w:hAnsiTheme="majorHAnsi"/>
          <w:sz w:val="22"/>
          <w:szCs w:val="22"/>
        </w:rPr>
        <w:t>that could be compared using constant ratios of log transformed bilirubi</w:t>
      </w:r>
      <w:r>
        <w:rPr>
          <w:rFonts w:asciiTheme="majorHAnsi" w:hAnsiTheme="majorHAnsi"/>
          <w:sz w:val="22"/>
          <w:szCs w:val="22"/>
        </w:rPr>
        <w:t>n.</w:t>
      </w:r>
      <w:r w:rsidRPr="004751ED">
        <w:rPr>
          <w:rFonts w:asciiTheme="majorHAnsi" w:hAnsiTheme="majorHAnsi"/>
          <w:sz w:val="22"/>
          <w:szCs w:val="22"/>
        </w:rPr>
        <w:t xml:space="preserve"> </w:t>
      </w:r>
      <w:r w:rsidR="007D794A" w:rsidRPr="004751ED">
        <w:rPr>
          <w:rFonts w:asciiTheme="majorHAnsi" w:hAnsiTheme="majorHAnsi"/>
          <w:sz w:val="22"/>
          <w:szCs w:val="22"/>
        </w:rPr>
        <w:t xml:space="preserve">  </w:t>
      </w:r>
    </w:p>
    <w:p w14:paraId="00F31284" w14:textId="77777777" w:rsidR="00A620A3" w:rsidRPr="0091637F" w:rsidRDefault="002777EC" w:rsidP="002777EC">
      <w:pPr>
        <w:numPr>
          <w:ilvl w:val="1"/>
          <w:numId w:val="19"/>
        </w:numPr>
        <w:autoSpaceDE w:val="0"/>
        <w:autoSpaceDN w:val="0"/>
        <w:adjustRightInd w:val="0"/>
        <w:spacing w:after="120"/>
        <w:rPr>
          <w:color w:val="0000FF"/>
          <w:sz w:val="22"/>
          <w:szCs w:val="22"/>
        </w:rPr>
      </w:pPr>
      <w:r w:rsidRPr="0091637F">
        <w:rPr>
          <w:color w:val="0000FF"/>
          <w:sz w:val="22"/>
          <w:szCs w:val="22"/>
        </w:rPr>
        <w:t>Include a full report of your inference about the association</w:t>
      </w:r>
      <w:commentRangeStart w:id="6"/>
      <w:r w:rsidRPr="0091637F">
        <w:rPr>
          <w:color w:val="0000FF"/>
          <w:sz w:val="22"/>
          <w:szCs w:val="22"/>
        </w:rPr>
        <w:t>.</w:t>
      </w:r>
      <w:commentRangeEnd w:id="6"/>
      <w:r w:rsidR="00FC33E3">
        <w:rPr>
          <w:rStyle w:val="CommentReference"/>
        </w:rPr>
        <w:commentReference w:id="6"/>
      </w:r>
    </w:p>
    <w:p w14:paraId="598E157D" w14:textId="75AE260E" w:rsidR="00AA54BE" w:rsidRPr="00AA54BE" w:rsidRDefault="00AA54BE" w:rsidP="0091637F">
      <w:pPr>
        <w:pStyle w:val="ListParagraph"/>
        <w:autoSpaceDE w:val="0"/>
        <w:autoSpaceDN w:val="0"/>
        <w:adjustRightInd w:val="0"/>
        <w:spacing w:after="120"/>
        <w:jc w:val="both"/>
        <w:rPr>
          <w:rFonts w:asciiTheme="majorHAnsi" w:hAnsiTheme="majorHAnsi"/>
          <w:sz w:val="22"/>
          <w:szCs w:val="22"/>
        </w:rPr>
      </w:pPr>
      <w:r w:rsidRPr="00AA54BE">
        <w:rPr>
          <w:rFonts w:asciiTheme="majorHAnsi" w:hAnsiTheme="majorHAnsi"/>
          <w:b/>
          <w:sz w:val="22"/>
          <w:szCs w:val="22"/>
          <w:u w:val="single"/>
        </w:rPr>
        <w:lastRenderedPageBreak/>
        <w:t>Inference:</w:t>
      </w:r>
      <w:r w:rsidRPr="00AA54BE">
        <w:rPr>
          <w:rFonts w:asciiTheme="majorHAnsi" w:hAnsiTheme="majorHAnsi"/>
          <w:sz w:val="22"/>
          <w:szCs w:val="22"/>
        </w:rPr>
        <w:t xml:space="preserve"> The 418 study participants had a mean baseline serum bilirubin level of 3.22 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with a standard deviation of 4.41mg/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and a range from 0.3 to 28mg/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The proportional hazards regression analysis showed that</w:t>
      </w:r>
      <w:r w:rsidR="004751ED">
        <w:rPr>
          <w:rFonts w:asciiTheme="majorHAnsi" w:hAnsiTheme="majorHAnsi"/>
          <w:sz w:val="22"/>
          <w:szCs w:val="22"/>
        </w:rPr>
        <w:t xml:space="preserve"> with each doubling of</w:t>
      </w:r>
      <w:r>
        <w:rPr>
          <w:rFonts w:asciiTheme="majorHAnsi" w:hAnsiTheme="majorHAnsi"/>
          <w:sz w:val="22"/>
          <w:szCs w:val="22"/>
        </w:rPr>
        <w:t xml:space="preserve"> baseline serum bilirubin levels, </w:t>
      </w:r>
      <w:r w:rsidRPr="00AA54BE">
        <w:rPr>
          <w:rFonts w:asciiTheme="majorHAnsi" w:hAnsiTheme="majorHAnsi"/>
          <w:sz w:val="22"/>
          <w:szCs w:val="22"/>
        </w:rPr>
        <w:t xml:space="preserve">the risk of </w:t>
      </w:r>
      <w:r>
        <w:rPr>
          <w:rFonts w:asciiTheme="majorHAnsi" w:hAnsiTheme="majorHAnsi"/>
          <w:sz w:val="22"/>
          <w:szCs w:val="22"/>
        </w:rPr>
        <w:t xml:space="preserve">instantaneous </w:t>
      </w:r>
      <w:r w:rsidRPr="00AA54BE">
        <w:rPr>
          <w:rFonts w:asciiTheme="majorHAnsi" w:hAnsiTheme="majorHAnsi"/>
          <w:sz w:val="22"/>
          <w:szCs w:val="22"/>
        </w:rPr>
        <w:t xml:space="preserve">death is </w:t>
      </w:r>
      <w:r w:rsidRPr="00E93AC4">
        <w:rPr>
          <w:rFonts w:asciiTheme="majorHAnsi" w:hAnsiTheme="majorHAnsi"/>
          <w:sz w:val="22"/>
          <w:szCs w:val="22"/>
        </w:rPr>
        <w:t xml:space="preserve">1.98 </w:t>
      </w:r>
      <w:r w:rsidRPr="00AA54BE">
        <w:rPr>
          <w:rFonts w:asciiTheme="majorHAnsi" w:hAnsiTheme="majorHAnsi"/>
          <w:sz w:val="22"/>
          <w:szCs w:val="22"/>
        </w:rPr>
        <w:t>fold higher in the group with the higher bilirubin. The 95% CI indicate that this estimate will not be unusual if the true risk</w:t>
      </w:r>
      <w:r>
        <w:rPr>
          <w:rFonts w:asciiTheme="majorHAnsi" w:hAnsiTheme="majorHAnsi"/>
          <w:sz w:val="22"/>
          <w:szCs w:val="22"/>
        </w:rPr>
        <w:t xml:space="preserve"> of instantaneous death</w:t>
      </w:r>
      <w:r w:rsidRPr="00AA54BE">
        <w:rPr>
          <w:rFonts w:asciiTheme="majorHAnsi" w:hAnsiTheme="majorHAnsi"/>
          <w:sz w:val="22"/>
          <w:szCs w:val="22"/>
        </w:rPr>
        <w:t xml:space="preserve"> is anywhere between 1.78 to 2.21 fold higher in the group with higher baseline serum bilirubin levels. This estimate is statistically significant with a </w:t>
      </w:r>
      <w:r w:rsidR="00C653B3" w:rsidRPr="00AA54BE">
        <w:rPr>
          <w:rFonts w:asciiTheme="majorHAnsi" w:hAnsiTheme="majorHAnsi"/>
          <w:sz w:val="22"/>
          <w:szCs w:val="22"/>
        </w:rPr>
        <w:t>two-sided</w:t>
      </w:r>
      <w:r w:rsidRPr="00AA54BE">
        <w:rPr>
          <w:rFonts w:asciiTheme="majorHAnsi" w:hAnsiTheme="majorHAnsi"/>
          <w:sz w:val="22"/>
          <w:szCs w:val="22"/>
        </w:rPr>
        <w:t xml:space="preserve"> p value (P&lt;0.0001) thus rejecting the null hypothesis that states that the risk of death from any cause is not associated with baseline serum bilirubin levels.</w:t>
      </w:r>
    </w:p>
    <w:p w14:paraId="0E591B4E" w14:textId="7777777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0B794998" w14:textId="45D128EB" w:rsidR="00E01E38" w:rsidRPr="0070001A" w:rsidRDefault="00927CF6" w:rsidP="00E01E38">
      <w:pPr>
        <w:numPr>
          <w:ilvl w:val="1"/>
          <w:numId w:val="19"/>
        </w:numPr>
        <w:autoSpaceDE w:val="0"/>
        <w:autoSpaceDN w:val="0"/>
        <w:adjustRightInd w:val="0"/>
        <w:spacing w:after="120"/>
        <w:rPr>
          <w:color w:val="0000FF"/>
          <w:sz w:val="22"/>
          <w:szCs w:val="22"/>
        </w:rPr>
      </w:pPr>
      <w:r w:rsidRPr="0070001A">
        <w:rPr>
          <w:color w:val="0000FF"/>
          <w:sz w:val="22"/>
          <w:szCs w:val="22"/>
        </w:rPr>
        <w:t>Provide full inference related to the question of whether the association is linear.</w:t>
      </w:r>
      <w:commentRangeStart w:id="7"/>
      <w:r w:rsidR="00FC33E3">
        <w:rPr>
          <w:color w:val="0000FF"/>
          <w:sz w:val="22"/>
          <w:szCs w:val="22"/>
        </w:rPr>
        <w:t xml:space="preserve"> </w:t>
      </w:r>
      <w:commentRangeEnd w:id="7"/>
      <w:r w:rsidR="00FC33E3">
        <w:rPr>
          <w:rStyle w:val="CommentReference"/>
        </w:rPr>
        <w:commentReference w:id="7"/>
      </w:r>
    </w:p>
    <w:p w14:paraId="0E599920" w14:textId="382AD20B" w:rsidR="0085519B" w:rsidRPr="00AA54BE" w:rsidRDefault="0085519B" w:rsidP="0091637F">
      <w:pPr>
        <w:pStyle w:val="ListParagraph"/>
        <w:autoSpaceDE w:val="0"/>
        <w:autoSpaceDN w:val="0"/>
        <w:adjustRightInd w:val="0"/>
        <w:spacing w:after="120"/>
        <w:jc w:val="both"/>
        <w:rPr>
          <w:rFonts w:asciiTheme="majorHAnsi" w:hAnsiTheme="majorHAnsi"/>
          <w:sz w:val="22"/>
          <w:szCs w:val="22"/>
        </w:rPr>
      </w:pPr>
      <w:r w:rsidRPr="00AA54BE">
        <w:rPr>
          <w:rFonts w:asciiTheme="majorHAnsi" w:hAnsiTheme="majorHAnsi"/>
          <w:b/>
          <w:sz w:val="22"/>
          <w:szCs w:val="22"/>
          <w:u w:val="single"/>
        </w:rPr>
        <w:t>Inference:</w:t>
      </w:r>
      <w:r w:rsidRPr="00AA54BE">
        <w:rPr>
          <w:rFonts w:asciiTheme="majorHAnsi" w:hAnsiTheme="majorHAnsi"/>
          <w:sz w:val="22"/>
          <w:szCs w:val="22"/>
        </w:rPr>
        <w:t xml:space="preserve"> The 418 study participants had a mean baseline serum bilirubin level of 3.22 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with a standard deviation of 4.41mg/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and a range </w:t>
      </w:r>
      <w:r w:rsidRPr="0070001A">
        <w:rPr>
          <w:rFonts w:asciiTheme="majorHAnsi" w:hAnsiTheme="majorHAnsi"/>
          <w:sz w:val="22"/>
          <w:szCs w:val="22"/>
        </w:rPr>
        <w:t>from 0.3 to 28mg/</w:t>
      </w:r>
      <w:proofErr w:type="spellStart"/>
      <w:r w:rsidRPr="0070001A">
        <w:rPr>
          <w:rFonts w:asciiTheme="majorHAnsi" w:hAnsiTheme="majorHAnsi"/>
          <w:sz w:val="22"/>
          <w:szCs w:val="22"/>
        </w:rPr>
        <w:t>dL</w:t>
      </w:r>
      <w:proofErr w:type="spellEnd"/>
      <w:r w:rsidRPr="0070001A">
        <w:rPr>
          <w:rFonts w:asciiTheme="majorHAnsi" w:hAnsiTheme="majorHAnsi"/>
          <w:sz w:val="22"/>
          <w:szCs w:val="22"/>
        </w:rPr>
        <w:t xml:space="preserve">. </w:t>
      </w:r>
      <w:r w:rsidR="004751ED" w:rsidRPr="0070001A">
        <w:rPr>
          <w:rFonts w:asciiTheme="majorHAnsi" w:hAnsiTheme="majorHAnsi"/>
          <w:sz w:val="22"/>
          <w:szCs w:val="22"/>
        </w:rPr>
        <w:t xml:space="preserve">The test for linearity </w:t>
      </w:r>
      <w:r w:rsidR="004751ED" w:rsidRPr="0070001A">
        <w:rPr>
          <w:sz w:val="22"/>
          <w:szCs w:val="22"/>
        </w:rPr>
        <w:t>of the bilirubin associ</w:t>
      </w:r>
      <w:r w:rsidR="0070001A" w:rsidRPr="0070001A">
        <w:rPr>
          <w:sz w:val="22"/>
          <w:szCs w:val="22"/>
        </w:rPr>
        <w:t xml:space="preserve">ation with the log hazard ratio indicated a significant linearity with a </w:t>
      </w:r>
      <w:r w:rsidR="0091637F" w:rsidRPr="0070001A">
        <w:rPr>
          <w:rFonts w:asciiTheme="majorHAnsi" w:hAnsiTheme="majorHAnsi"/>
          <w:sz w:val="22"/>
          <w:szCs w:val="22"/>
        </w:rPr>
        <w:t>two-sided</w:t>
      </w:r>
      <w:r w:rsidR="0070001A" w:rsidRPr="0070001A">
        <w:rPr>
          <w:rFonts w:asciiTheme="majorHAnsi" w:hAnsiTheme="majorHAnsi"/>
          <w:sz w:val="22"/>
          <w:szCs w:val="22"/>
        </w:rPr>
        <w:t xml:space="preserve"> p &lt;0.0001. Thus the addition of </w:t>
      </w:r>
      <w:r w:rsidR="004751ED" w:rsidRPr="0070001A">
        <w:rPr>
          <w:rFonts w:asciiTheme="majorHAnsi" w:hAnsiTheme="majorHAnsi"/>
          <w:sz w:val="22"/>
          <w:szCs w:val="22"/>
        </w:rPr>
        <w:t xml:space="preserve">log transformed serum bilirubin (base 2) </w:t>
      </w:r>
      <w:r w:rsidR="0070001A" w:rsidRPr="0070001A">
        <w:rPr>
          <w:rFonts w:asciiTheme="majorHAnsi" w:hAnsiTheme="majorHAnsi"/>
          <w:sz w:val="22"/>
          <w:szCs w:val="22"/>
        </w:rPr>
        <w:t xml:space="preserve">adds a better fit of data and thus rejects the null hypothesis. </w:t>
      </w:r>
    </w:p>
    <w:p w14:paraId="3F4EC0F3" w14:textId="1B1ECEE9" w:rsidR="00E01E38" w:rsidRPr="0070001A" w:rsidRDefault="00E01E38" w:rsidP="00E01E38">
      <w:pPr>
        <w:numPr>
          <w:ilvl w:val="0"/>
          <w:numId w:val="19"/>
        </w:numPr>
        <w:autoSpaceDE w:val="0"/>
        <w:autoSpaceDN w:val="0"/>
        <w:adjustRightInd w:val="0"/>
        <w:spacing w:after="120"/>
        <w:rPr>
          <w:color w:val="0000FF"/>
          <w:sz w:val="22"/>
          <w:szCs w:val="22"/>
        </w:rPr>
      </w:pPr>
      <w:r w:rsidRPr="0070001A">
        <w:rPr>
          <w:color w:val="0000FF"/>
          <w:sz w:val="22"/>
          <w:szCs w:val="22"/>
        </w:rPr>
        <w:t>Display a graph with the fitted hazard ratios from problems 3 - 5. Comment on any similarities or differences of the fitted values from the three models.</w:t>
      </w:r>
      <w:commentRangeStart w:id="8"/>
      <w:r w:rsidR="00FC33E3">
        <w:rPr>
          <w:color w:val="0000FF"/>
          <w:sz w:val="22"/>
          <w:szCs w:val="22"/>
        </w:rPr>
        <w:t xml:space="preserve"> </w:t>
      </w:r>
      <w:commentRangeEnd w:id="8"/>
      <w:r w:rsidR="00FC33E3">
        <w:rPr>
          <w:rStyle w:val="CommentReference"/>
        </w:rPr>
        <w:commentReference w:id="8"/>
      </w:r>
    </w:p>
    <w:p w14:paraId="384A7A9F" w14:textId="05AE2DAC" w:rsidR="007919D2" w:rsidRDefault="0070001A" w:rsidP="00E044F1">
      <w:pPr>
        <w:autoSpaceDE w:val="0"/>
        <w:autoSpaceDN w:val="0"/>
        <w:adjustRightInd w:val="0"/>
        <w:spacing w:after="120"/>
        <w:ind w:left="720"/>
        <w:rPr>
          <w:sz w:val="22"/>
          <w:szCs w:val="22"/>
        </w:rPr>
      </w:pPr>
      <w:r>
        <w:rPr>
          <w:sz w:val="22"/>
          <w:szCs w:val="22"/>
        </w:rPr>
        <w:t>Figure 4</w:t>
      </w:r>
      <w:r w:rsidR="00C61698">
        <w:rPr>
          <w:sz w:val="22"/>
          <w:szCs w:val="22"/>
        </w:rPr>
        <w:t>: Fitted hazard ratios relative to a group with serum bilirubin of 1 mg/</w:t>
      </w:r>
      <w:proofErr w:type="spellStart"/>
      <w:r w:rsidR="00C61698">
        <w:rPr>
          <w:sz w:val="22"/>
          <w:szCs w:val="22"/>
        </w:rPr>
        <w:t>dL</w:t>
      </w:r>
      <w:proofErr w:type="spellEnd"/>
      <w:r w:rsidR="00324D74">
        <w:rPr>
          <w:sz w:val="22"/>
          <w:szCs w:val="22"/>
        </w:rPr>
        <w:t xml:space="preserve"> estimated</w:t>
      </w:r>
      <w:r w:rsidR="00C61698">
        <w:rPr>
          <w:sz w:val="22"/>
          <w:szCs w:val="22"/>
        </w:rPr>
        <w:t xml:space="preserve"> from proportional hazard regression models with baseline serum bilirubin levels as linear continuous variable (black dots) alone, as log transformed variable (base 2) – (blue dots) alone and model with both linear and log transformed terms (green dots).</w:t>
      </w:r>
    </w:p>
    <w:p w14:paraId="3910389D" w14:textId="01987363" w:rsidR="00C653B3" w:rsidRDefault="0085519B" w:rsidP="007919D2">
      <w:pPr>
        <w:autoSpaceDE w:val="0"/>
        <w:autoSpaceDN w:val="0"/>
        <w:adjustRightInd w:val="0"/>
        <w:spacing w:after="120"/>
        <w:ind w:left="720"/>
        <w:rPr>
          <w:sz w:val="22"/>
          <w:szCs w:val="22"/>
        </w:rPr>
      </w:pPr>
      <w:r>
        <w:rPr>
          <w:noProof/>
          <w:sz w:val="22"/>
          <w:szCs w:val="22"/>
        </w:rPr>
        <w:drawing>
          <wp:inline distT="0" distB="0" distL="0" distR="0" wp14:anchorId="0892CEE0" wp14:editId="395848B7">
            <wp:extent cx="3903325" cy="2836275"/>
            <wp:effectExtent l="0" t="0" r="8890" b="889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4251" cy="2836948"/>
                    </a:xfrm>
                    <a:prstGeom prst="rect">
                      <a:avLst/>
                    </a:prstGeom>
                    <a:noFill/>
                    <a:ln>
                      <a:noFill/>
                    </a:ln>
                  </pic:spPr>
                </pic:pic>
              </a:graphicData>
            </a:graphic>
          </wp:inline>
        </w:drawing>
      </w:r>
    </w:p>
    <w:p w14:paraId="55B8895B" w14:textId="2DF73043" w:rsidR="00324D74" w:rsidRDefault="00324D74" w:rsidP="00E044F1">
      <w:pPr>
        <w:autoSpaceDE w:val="0"/>
        <w:autoSpaceDN w:val="0"/>
        <w:adjustRightInd w:val="0"/>
        <w:spacing w:after="120"/>
        <w:ind w:left="720"/>
        <w:jc w:val="both"/>
        <w:rPr>
          <w:sz w:val="22"/>
          <w:szCs w:val="22"/>
        </w:rPr>
      </w:pPr>
      <w:r w:rsidRPr="0070001A">
        <w:rPr>
          <w:sz w:val="22"/>
          <w:szCs w:val="22"/>
        </w:rPr>
        <w:t xml:space="preserve">All the models </w:t>
      </w:r>
      <w:r w:rsidR="0070001A" w:rsidRPr="0070001A">
        <w:rPr>
          <w:sz w:val="22"/>
          <w:szCs w:val="22"/>
        </w:rPr>
        <w:t>in</w:t>
      </w:r>
      <w:r w:rsidR="0070001A">
        <w:rPr>
          <w:sz w:val="22"/>
          <w:szCs w:val="22"/>
        </w:rPr>
        <w:t xml:space="preserve"> Figure 4</w:t>
      </w:r>
      <w:r w:rsidR="0070001A" w:rsidRPr="0070001A">
        <w:rPr>
          <w:sz w:val="22"/>
          <w:szCs w:val="22"/>
        </w:rPr>
        <w:t xml:space="preserve"> </w:t>
      </w:r>
      <w:r w:rsidRPr="0070001A">
        <w:rPr>
          <w:sz w:val="22"/>
          <w:szCs w:val="22"/>
        </w:rPr>
        <w:t xml:space="preserve">indicate an increasing trend in hazard ratios with increasing baseline serum bilirubin levels. Both the log transformed and linear with log transformed serum bilirubin </w:t>
      </w:r>
      <w:proofErr w:type="gramStart"/>
      <w:r w:rsidRPr="0070001A">
        <w:rPr>
          <w:sz w:val="22"/>
          <w:szCs w:val="22"/>
        </w:rPr>
        <w:lastRenderedPageBreak/>
        <w:t>have</w:t>
      </w:r>
      <w:proofErr w:type="gramEnd"/>
      <w:r w:rsidRPr="0070001A">
        <w:rPr>
          <w:sz w:val="22"/>
          <w:szCs w:val="22"/>
        </w:rPr>
        <w:t xml:space="preserve"> similar fit</w:t>
      </w:r>
      <w:r w:rsidR="008320D3" w:rsidRPr="0070001A">
        <w:rPr>
          <w:sz w:val="22"/>
          <w:szCs w:val="22"/>
        </w:rPr>
        <w:t>s</w:t>
      </w:r>
      <w:r w:rsidRPr="0070001A">
        <w:rPr>
          <w:sz w:val="22"/>
          <w:szCs w:val="22"/>
        </w:rPr>
        <w:t xml:space="preserve"> till </w:t>
      </w:r>
      <w:r w:rsidR="0070001A" w:rsidRPr="0070001A">
        <w:rPr>
          <w:sz w:val="22"/>
          <w:szCs w:val="22"/>
        </w:rPr>
        <w:t>about 15mg/</w:t>
      </w:r>
      <w:proofErr w:type="spellStart"/>
      <w:r w:rsidR="0070001A" w:rsidRPr="0070001A">
        <w:rPr>
          <w:sz w:val="22"/>
          <w:szCs w:val="22"/>
        </w:rPr>
        <w:t>dL</w:t>
      </w:r>
      <w:proofErr w:type="spellEnd"/>
      <w:r w:rsidR="0070001A" w:rsidRPr="0070001A">
        <w:rPr>
          <w:sz w:val="22"/>
          <w:szCs w:val="22"/>
        </w:rPr>
        <w:t xml:space="preserve"> </w:t>
      </w:r>
      <w:r w:rsidRPr="0070001A">
        <w:rPr>
          <w:sz w:val="22"/>
          <w:szCs w:val="22"/>
        </w:rPr>
        <w:t>of serum bilirubin level</w:t>
      </w:r>
      <w:r w:rsidR="00D8302F" w:rsidRPr="0070001A">
        <w:rPr>
          <w:sz w:val="22"/>
          <w:szCs w:val="22"/>
        </w:rPr>
        <w:t>s</w:t>
      </w:r>
      <w:r w:rsidRPr="0070001A">
        <w:rPr>
          <w:sz w:val="22"/>
          <w:szCs w:val="22"/>
        </w:rPr>
        <w:t>. A</w:t>
      </w:r>
      <w:r w:rsidR="008320D3" w:rsidRPr="0070001A">
        <w:rPr>
          <w:sz w:val="22"/>
          <w:szCs w:val="22"/>
        </w:rPr>
        <w:t xml:space="preserve">fter that point, the </w:t>
      </w:r>
      <w:r w:rsidRPr="0070001A">
        <w:rPr>
          <w:sz w:val="22"/>
          <w:szCs w:val="22"/>
        </w:rPr>
        <w:t xml:space="preserve">models have different </w:t>
      </w:r>
      <w:r w:rsidR="008320D3" w:rsidRPr="0070001A">
        <w:rPr>
          <w:sz w:val="22"/>
          <w:szCs w:val="22"/>
        </w:rPr>
        <w:t>fits</w:t>
      </w:r>
      <w:r w:rsidRPr="0070001A">
        <w:rPr>
          <w:sz w:val="22"/>
          <w:szCs w:val="22"/>
        </w:rPr>
        <w:t xml:space="preserve"> and this could be at</w:t>
      </w:r>
      <w:r w:rsidR="004C3F3F" w:rsidRPr="0070001A">
        <w:rPr>
          <w:sz w:val="22"/>
          <w:szCs w:val="22"/>
        </w:rPr>
        <w:t>tributed to low data points.</w:t>
      </w:r>
    </w:p>
    <w:p w14:paraId="4B4CF74E" w14:textId="77777777" w:rsidR="00927CF6" w:rsidRDefault="00927CF6" w:rsidP="00927CF6">
      <w:pPr>
        <w:numPr>
          <w:ilvl w:val="0"/>
          <w:numId w:val="19"/>
        </w:numPr>
        <w:autoSpaceDE w:val="0"/>
        <w:autoSpaceDN w:val="0"/>
        <w:adjustRightInd w:val="0"/>
        <w:spacing w:after="120"/>
        <w:rPr>
          <w:sz w:val="22"/>
          <w:szCs w:val="22"/>
        </w:rPr>
      </w:pPr>
      <w:r>
        <w:rPr>
          <w:sz w:val="22"/>
          <w:szCs w:val="22"/>
        </w:rPr>
        <w:t>We are interested in considering analyses of the association between all cause mortality and serum bilirubin after adjustment for age and sex.</w:t>
      </w:r>
    </w:p>
    <w:p w14:paraId="62B83AAF" w14:textId="15D6F379" w:rsidR="00927CF6" w:rsidRPr="00080005" w:rsidRDefault="00927CF6" w:rsidP="00927CF6">
      <w:pPr>
        <w:numPr>
          <w:ilvl w:val="1"/>
          <w:numId w:val="19"/>
        </w:numPr>
        <w:autoSpaceDE w:val="0"/>
        <w:autoSpaceDN w:val="0"/>
        <w:adjustRightInd w:val="0"/>
        <w:spacing w:after="120"/>
        <w:rPr>
          <w:color w:val="0000FF"/>
          <w:sz w:val="22"/>
          <w:szCs w:val="22"/>
        </w:rPr>
      </w:pPr>
      <w:r w:rsidRPr="00080005">
        <w:rPr>
          <w:color w:val="0000FF"/>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commentRangeStart w:id="9"/>
      <w:r w:rsidR="00FC33E3">
        <w:rPr>
          <w:color w:val="0000FF"/>
          <w:sz w:val="22"/>
          <w:szCs w:val="22"/>
        </w:rPr>
        <w:t xml:space="preserve">  </w:t>
      </w:r>
      <w:commentRangeEnd w:id="9"/>
      <w:r w:rsidR="00FC33E3">
        <w:rPr>
          <w:rStyle w:val="CommentReference"/>
        </w:rPr>
        <w:commentReference w:id="9"/>
      </w:r>
    </w:p>
    <w:p w14:paraId="0B9D81DA" w14:textId="38322AB4" w:rsidR="00DE0C1B" w:rsidRPr="001247C9" w:rsidRDefault="00DE0C1B" w:rsidP="00E044F1">
      <w:pPr>
        <w:autoSpaceDE w:val="0"/>
        <w:autoSpaceDN w:val="0"/>
        <w:adjustRightInd w:val="0"/>
        <w:spacing w:after="120"/>
        <w:ind w:left="1440"/>
        <w:jc w:val="both"/>
        <w:rPr>
          <w:rFonts w:asciiTheme="majorHAnsi" w:hAnsiTheme="majorHAnsi"/>
          <w:sz w:val="22"/>
          <w:szCs w:val="22"/>
        </w:rPr>
      </w:pPr>
      <w:r w:rsidRPr="001247C9">
        <w:rPr>
          <w:rFonts w:asciiTheme="majorHAnsi" w:hAnsiTheme="majorHAnsi"/>
          <w:sz w:val="22"/>
          <w:szCs w:val="22"/>
        </w:rPr>
        <w:t xml:space="preserve">A logistic regression model for a binary death outcome defined with deadin1.49years (cutoff for censored data) with bilirubin levels generates an OR of </w:t>
      </w:r>
      <w:r w:rsidR="001247C9" w:rsidRPr="001247C9">
        <w:rPr>
          <w:rFonts w:asciiTheme="majorHAnsi" w:hAnsiTheme="majorHAnsi"/>
          <w:sz w:val="22"/>
          <w:szCs w:val="22"/>
        </w:rPr>
        <w:t>1.175 (95% CI 1.105 - 1.25</w:t>
      </w:r>
      <w:r w:rsidRPr="001247C9">
        <w:rPr>
          <w:rFonts w:asciiTheme="majorHAnsi" w:hAnsiTheme="majorHAnsi"/>
          <w:sz w:val="22"/>
          <w:szCs w:val="22"/>
        </w:rPr>
        <w:t xml:space="preserve">), when we adjust for sex and age </w:t>
      </w:r>
      <w:r w:rsidR="001247C9" w:rsidRPr="001247C9">
        <w:rPr>
          <w:rFonts w:asciiTheme="majorHAnsi" w:hAnsiTheme="majorHAnsi"/>
          <w:sz w:val="22"/>
          <w:szCs w:val="22"/>
        </w:rPr>
        <w:t xml:space="preserve">in this model the OR changes to 1.181 (95% CI 1.094 - 1.276) suggesting presence of confounding. </w:t>
      </w:r>
    </w:p>
    <w:p w14:paraId="33D54DEC" w14:textId="5DD14430" w:rsidR="00080005" w:rsidRPr="001247C9" w:rsidRDefault="001247C9" w:rsidP="00E044F1">
      <w:pPr>
        <w:autoSpaceDE w:val="0"/>
        <w:autoSpaceDN w:val="0"/>
        <w:adjustRightInd w:val="0"/>
        <w:spacing w:after="120"/>
        <w:ind w:left="1440"/>
        <w:jc w:val="both"/>
        <w:rPr>
          <w:rFonts w:asciiTheme="majorHAnsi" w:hAnsiTheme="majorHAnsi"/>
          <w:sz w:val="22"/>
          <w:szCs w:val="22"/>
        </w:rPr>
      </w:pPr>
      <w:r w:rsidRPr="001247C9">
        <w:rPr>
          <w:rFonts w:asciiTheme="majorHAnsi" w:hAnsiTheme="majorHAnsi"/>
          <w:sz w:val="22"/>
          <w:szCs w:val="22"/>
        </w:rPr>
        <w:t xml:space="preserve">Alternatively, using descriptive statistics, there is some evidence suggestive of </w:t>
      </w:r>
      <w:r w:rsidR="00080005" w:rsidRPr="001247C9">
        <w:rPr>
          <w:rFonts w:asciiTheme="majorHAnsi" w:hAnsiTheme="majorHAnsi"/>
          <w:sz w:val="22"/>
          <w:szCs w:val="22"/>
        </w:rPr>
        <w:t xml:space="preserve">sex being a confounder based on </w:t>
      </w:r>
      <w:r w:rsidR="00BA1992" w:rsidRPr="001247C9">
        <w:rPr>
          <w:rFonts w:asciiTheme="majorHAnsi" w:hAnsiTheme="majorHAnsi"/>
          <w:sz w:val="22"/>
          <w:szCs w:val="22"/>
        </w:rPr>
        <w:t xml:space="preserve">Figure 3 </w:t>
      </w:r>
      <w:r w:rsidR="00080005" w:rsidRPr="001247C9">
        <w:rPr>
          <w:rFonts w:asciiTheme="majorHAnsi" w:hAnsiTheme="majorHAnsi"/>
          <w:sz w:val="22"/>
          <w:szCs w:val="22"/>
        </w:rPr>
        <w:t xml:space="preserve">that </w:t>
      </w:r>
      <w:r w:rsidR="00BA1992" w:rsidRPr="001247C9">
        <w:rPr>
          <w:rFonts w:asciiTheme="majorHAnsi" w:hAnsiTheme="majorHAnsi"/>
          <w:sz w:val="22"/>
          <w:szCs w:val="22"/>
        </w:rPr>
        <w:t xml:space="preserve">shows females are less likely to die </w:t>
      </w:r>
      <w:r w:rsidR="00080005" w:rsidRPr="001247C9">
        <w:rPr>
          <w:rFonts w:asciiTheme="majorHAnsi" w:hAnsiTheme="majorHAnsi"/>
          <w:sz w:val="22"/>
          <w:szCs w:val="22"/>
        </w:rPr>
        <w:t xml:space="preserve">(outcome) compared to men </w:t>
      </w:r>
      <w:r w:rsidR="00BA1992" w:rsidRPr="001247C9">
        <w:rPr>
          <w:rFonts w:asciiTheme="majorHAnsi" w:hAnsiTheme="majorHAnsi"/>
          <w:sz w:val="22"/>
          <w:szCs w:val="22"/>
        </w:rPr>
        <w:t xml:space="preserve">in the </w:t>
      </w:r>
      <w:r w:rsidR="00080005" w:rsidRPr="001247C9">
        <w:rPr>
          <w:rFonts w:asciiTheme="majorHAnsi" w:hAnsiTheme="majorHAnsi"/>
          <w:sz w:val="22"/>
          <w:szCs w:val="22"/>
        </w:rPr>
        <w:t>Kaplan-Meier</w:t>
      </w:r>
      <w:r w:rsidR="00BA1992" w:rsidRPr="001247C9">
        <w:rPr>
          <w:rFonts w:asciiTheme="majorHAnsi" w:hAnsiTheme="majorHAnsi"/>
          <w:sz w:val="22"/>
          <w:szCs w:val="22"/>
        </w:rPr>
        <w:t xml:space="preserve"> plot</w:t>
      </w:r>
      <w:r w:rsidRPr="001247C9">
        <w:rPr>
          <w:rFonts w:asciiTheme="majorHAnsi" w:hAnsiTheme="majorHAnsi"/>
          <w:sz w:val="22"/>
          <w:szCs w:val="22"/>
        </w:rPr>
        <w:t xml:space="preserve"> while women distribution is </w:t>
      </w:r>
      <w:r w:rsidR="00080005" w:rsidRPr="001247C9">
        <w:rPr>
          <w:rFonts w:asciiTheme="majorHAnsi" w:hAnsiTheme="majorHAnsi"/>
          <w:sz w:val="22"/>
          <w:szCs w:val="22"/>
        </w:rPr>
        <w:t xml:space="preserve">highest </w:t>
      </w:r>
      <w:r w:rsidR="00BA1992" w:rsidRPr="001247C9">
        <w:rPr>
          <w:rFonts w:asciiTheme="majorHAnsi" w:hAnsiTheme="majorHAnsi"/>
          <w:sz w:val="22"/>
          <w:szCs w:val="22"/>
        </w:rPr>
        <w:t>within the</w:t>
      </w:r>
      <w:r w:rsidR="00080005" w:rsidRPr="001247C9">
        <w:rPr>
          <w:rFonts w:asciiTheme="majorHAnsi" w:hAnsiTheme="majorHAnsi"/>
          <w:sz w:val="22"/>
          <w:szCs w:val="22"/>
        </w:rPr>
        <w:t xml:space="preserve"> lowest </w:t>
      </w:r>
      <w:r w:rsidRPr="001247C9">
        <w:rPr>
          <w:rFonts w:asciiTheme="majorHAnsi" w:hAnsiTheme="majorHAnsi"/>
          <w:sz w:val="22"/>
          <w:szCs w:val="22"/>
        </w:rPr>
        <w:t xml:space="preserve">bilirubin category. The </w:t>
      </w:r>
      <w:r w:rsidR="00BA1992" w:rsidRPr="001247C9">
        <w:rPr>
          <w:rFonts w:asciiTheme="majorHAnsi" w:hAnsiTheme="majorHAnsi"/>
          <w:sz w:val="22"/>
          <w:szCs w:val="22"/>
        </w:rPr>
        <w:t>highest</w:t>
      </w:r>
      <w:r w:rsidR="00080005" w:rsidRPr="001247C9">
        <w:rPr>
          <w:rFonts w:asciiTheme="majorHAnsi" w:hAnsiTheme="majorHAnsi"/>
          <w:sz w:val="22"/>
          <w:szCs w:val="22"/>
        </w:rPr>
        <w:t xml:space="preserve"> baseline serum</w:t>
      </w:r>
      <w:r w:rsidR="00BA1992" w:rsidRPr="001247C9">
        <w:rPr>
          <w:rFonts w:asciiTheme="majorHAnsi" w:hAnsiTheme="majorHAnsi"/>
          <w:sz w:val="22"/>
          <w:szCs w:val="22"/>
        </w:rPr>
        <w:t xml:space="preserve"> bilirubin</w:t>
      </w:r>
      <w:r w:rsidRPr="001247C9">
        <w:rPr>
          <w:rFonts w:asciiTheme="majorHAnsi" w:hAnsiTheme="majorHAnsi"/>
          <w:sz w:val="22"/>
          <w:szCs w:val="22"/>
        </w:rPr>
        <w:t xml:space="preserve"> categories also had higher proportion of women but these categories had sparse data (see table below). </w:t>
      </w:r>
    </w:p>
    <w:p w14:paraId="6F521FBD" w14:textId="77777777" w:rsidR="00080005" w:rsidRDefault="00080005" w:rsidP="00080005">
      <w:pPr>
        <w:autoSpaceDE w:val="0"/>
        <w:autoSpaceDN w:val="0"/>
        <w:adjustRightInd w:val="0"/>
        <w:spacing w:after="120"/>
        <w:rPr>
          <w:sz w:val="22"/>
          <w:szCs w:val="22"/>
        </w:rPr>
      </w:pPr>
      <w:r>
        <w:rPr>
          <w:sz w:val="22"/>
          <w:szCs w:val="22"/>
        </w:rPr>
        <w:t>Figure 3: Survival estimates stratified by sex</w:t>
      </w:r>
    </w:p>
    <w:p w14:paraId="3C988DD8" w14:textId="77777777" w:rsidR="00080005" w:rsidRDefault="00080005" w:rsidP="00080005">
      <w:pPr>
        <w:autoSpaceDE w:val="0"/>
        <w:autoSpaceDN w:val="0"/>
        <w:adjustRightInd w:val="0"/>
        <w:spacing w:after="120"/>
        <w:rPr>
          <w:sz w:val="22"/>
          <w:szCs w:val="22"/>
        </w:rPr>
      </w:pPr>
      <w:r>
        <w:rPr>
          <w:noProof/>
          <w:sz w:val="22"/>
          <w:szCs w:val="22"/>
        </w:rPr>
        <w:drawing>
          <wp:inline distT="0" distB="0" distL="0" distR="0" wp14:anchorId="43867ECC" wp14:editId="19BB1E18">
            <wp:extent cx="5033645" cy="3657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tbl>
      <w:tblPr>
        <w:tblStyle w:val="TableClassic1"/>
        <w:tblW w:w="4683" w:type="pct"/>
        <w:tblLook w:val="04A0" w:firstRow="1" w:lastRow="0" w:firstColumn="1" w:lastColumn="0" w:noHBand="0" w:noVBand="1"/>
      </w:tblPr>
      <w:tblGrid>
        <w:gridCol w:w="1647"/>
        <w:gridCol w:w="815"/>
        <w:gridCol w:w="1118"/>
        <w:gridCol w:w="1072"/>
        <w:gridCol w:w="1168"/>
        <w:gridCol w:w="1103"/>
        <w:gridCol w:w="1122"/>
        <w:gridCol w:w="1194"/>
      </w:tblGrid>
      <w:tr w:rsidR="00080005" w:rsidRPr="006A5F43" w14:paraId="2BFACBCF" w14:textId="77777777" w:rsidTr="00080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bottom w:val="single" w:sz="4" w:space="0" w:color="auto"/>
            </w:tcBorders>
          </w:tcPr>
          <w:p w14:paraId="4D3D36CC" w14:textId="77777777" w:rsidR="00080005" w:rsidRPr="006A5F43" w:rsidRDefault="00080005" w:rsidP="00292A09">
            <w:pPr>
              <w:autoSpaceDE w:val="0"/>
              <w:autoSpaceDN w:val="0"/>
              <w:adjustRightInd w:val="0"/>
              <w:spacing w:after="120"/>
              <w:rPr>
                <w:rFonts w:asciiTheme="majorHAnsi" w:hAnsiTheme="majorHAnsi"/>
              </w:rPr>
            </w:pPr>
          </w:p>
        </w:tc>
        <w:tc>
          <w:tcPr>
            <w:tcW w:w="3461" w:type="pct"/>
            <w:gridSpan w:val="6"/>
            <w:tcBorders>
              <w:bottom w:val="single" w:sz="4" w:space="0" w:color="auto"/>
            </w:tcBorders>
          </w:tcPr>
          <w:p w14:paraId="406C0B39" w14:textId="77777777" w:rsidR="00080005" w:rsidRPr="006A5F43" w:rsidRDefault="00080005" w:rsidP="00292A09">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Serum Bilirubin Level at Study Enrollment </w:t>
            </w:r>
          </w:p>
        </w:tc>
        <w:tc>
          <w:tcPr>
            <w:tcW w:w="647" w:type="pct"/>
            <w:tcBorders>
              <w:bottom w:val="single" w:sz="4" w:space="0" w:color="auto"/>
            </w:tcBorders>
          </w:tcPr>
          <w:p w14:paraId="0BF75EC1" w14:textId="77777777" w:rsidR="00080005" w:rsidRPr="006A5F43" w:rsidRDefault="00080005" w:rsidP="00292A09">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080005" w:rsidRPr="006A5F43" w14:paraId="7AE2C2DD" w14:textId="77777777" w:rsidTr="00080005">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bottom w:val="nil"/>
            </w:tcBorders>
          </w:tcPr>
          <w:p w14:paraId="4F6998CB" w14:textId="77777777" w:rsidR="00080005" w:rsidRPr="006A5F43" w:rsidRDefault="00080005" w:rsidP="00292A09">
            <w:pPr>
              <w:autoSpaceDE w:val="0"/>
              <w:autoSpaceDN w:val="0"/>
              <w:adjustRightInd w:val="0"/>
              <w:spacing w:after="120"/>
              <w:rPr>
                <w:rFonts w:asciiTheme="majorHAnsi" w:hAnsiTheme="majorHAnsi"/>
              </w:rPr>
            </w:pPr>
          </w:p>
        </w:tc>
        <w:tc>
          <w:tcPr>
            <w:tcW w:w="441" w:type="pct"/>
            <w:tcBorders>
              <w:top w:val="single" w:sz="4" w:space="0" w:color="auto"/>
              <w:bottom w:val="single" w:sz="4" w:space="0" w:color="auto"/>
            </w:tcBorders>
          </w:tcPr>
          <w:p w14:paraId="2117805C"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0 mg/</w:t>
            </w:r>
            <w:proofErr w:type="spellStart"/>
            <w:r w:rsidRPr="006A5F43">
              <w:rPr>
                <w:rFonts w:asciiTheme="majorHAnsi" w:hAnsiTheme="majorHAnsi"/>
              </w:rPr>
              <w:t>dL</w:t>
            </w:r>
            <w:proofErr w:type="spellEnd"/>
          </w:p>
        </w:tc>
        <w:tc>
          <w:tcPr>
            <w:tcW w:w="605" w:type="pct"/>
            <w:tcBorders>
              <w:top w:val="single" w:sz="4" w:space="0" w:color="auto"/>
              <w:bottom w:val="single" w:sz="4" w:space="0" w:color="auto"/>
            </w:tcBorders>
          </w:tcPr>
          <w:p w14:paraId="1DA41062"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 mg/</w:t>
            </w:r>
            <w:proofErr w:type="spellStart"/>
            <w:r w:rsidRPr="006A5F43">
              <w:rPr>
                <w:rFonts w:asciiTheme="majorHAnsi" w:hAnsiTheme="majorHAnsi"/>
              </w:rPr>
              <w:t>dL</w:t>
            </w:r>
            <w:proofErr w:type="spellEnd"/>
          </w:p>
        </w:tc>
        <w:tc>
          <w:tcPr>
            <w:tcW w:w="580" w:type="pct"/>
            <w:tcBorders>
              <w:top w:val="single" w:sz="4" w:space="0" w:color="auto"/>
              <w:bottom w:val="single" w:sz="4" w:space="0" w:color="auto"/>
            </w:tcBorders>
          </w:tcPr>
          <w:p w14:paraId="3A15339A"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 – 4 mg/</w:t>
            </w:r>
            <w:proofErr w:type="spellStart"/>
            <w:r w:rsidRPr="006A5F43">
              <w:rPr>
                <w:rFonts w:asciiTheme="majorHAnsi" w:hAnsiTheme="majorHAnsi"/>
              </w:rPr>
              <w:t>dL</w:t>
            </w:r>
            <w:proofErr w:type="spellEnd"/>
          </w:p>
        </w:tc>
        <w:tc>
          <w:tcPr>
            <w:tcW w:w="632" w:type="pct"/>
            <w:tcBorders>
              <w:top w:val="single" w:sz="4" w:space="0" w:color="auto"/>
              <w:bottom w:val="single" w:sz="4" w:space="0" w:color="auto"/>
            </w:tcBorders>
          </w:tcPr>
          <w:p w14:paraId="5A697708"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 – 8 mg/</w:t>
            </w:r>
            <w:proofErr w:type="spellStart"/>
            <w:r w:rsidRPr="006A5F43">
              <w:rPr>
                <w:rFonts w:asciiTheme="majorHAnsi" w:hAnsiTheme="majorHAnsi"/>
              </w:rPr>
              <w:t>dL</w:t>
            </w:r>
            <w:proofErr w:type="spellEnd"/>
          </w:p>
        </w:tc>
        <w:tc>
          <w:tcPr>
            <w:tcW w:w="597" w:type="pct"/>
            <w:tcBorders>
              <w:top w:val="single" w:sz="4" w:space="0" w:color="auto"/>
              <w:bottom w:val="single" w:sz="4" w:space="0" w:color="auto"/>
            </w:tcBorders>
          </w:tcPr>
          <w:p w14:paraId="1B0850D0"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 – 16mg/</w:t>
            </w:r>
            <w:proofErr w:type="spellStart"/>
            <w:r w:rsidRPr="006A5F43">
              <w:rPr>
                <w:rFonts w:asciiTheme="majorHAnsi" w:hAnsiTheme="majorHAnsi"/>
              </w:rPr>
              <w:t>dL</w:t>
            </w:r>
            <w:proofErr w:type="spellEnd"/>
          </w:p>
        </w:tc>
        <w:tc>
          <w:tcPr>
            <w:tcW w:w="607" w:type="pct"/>
            <w:tcBorders>
              <w:top w:val="single" w:sz="4" w:space="0" w:color="auto"/>
              <w:bottom w:val="single" w:sz="4" w:space="0" w:color="auto"/>
            </w:tcBorders>
          </w:tcPr>
          <w:p w14:paraId="29110C69"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17 – 28 mg/</w:t>
            </w:r>
            <w:proofErr w:type="spellStart"/>
            <w:r w:rsidRPr="006A5F43">
              <w:rPr>
                <w:rFonts w:asciiTheme="majorHAnsi" w:hAnsiTheme="majorHAnsi"/>
              </w:rPr>
              <w:t>dL</w:t>
            </w:r>
            <w:proofErr w:type="spellEnd"/>
          </w:p>
        </w:tc>
        <w:tc>
          <w:tcPr>
            <w:tcW w:w="647" w:type="pct"/>
            <w:tcBorders>
              <w:top w:val="single" w:sz="4" w:space="0" w:color="auto"/>
              <w:bottom w:val="single" w:sz="4" w:space="0" w:color="auto"/>
            </w:tcBorders>
          </w:tcPr>
          <w:p w14:paraId="0E15F19D"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Total</w:t>
            </w:r>
          </w:p>
        </w:tc>
      </w:tr>
      <w:tr w:rsidR="00080005" w:rsidRPr="006A5F43" w14:paraId="5170390E" w14:textId="77777777" w:rsidTr="00080005">
        <w:tc>
          <w:tcPr>
            <w:cnfStyle w:val="001000000000" w:firstRow="0" w:lastRow="0" w:firstColumn="1" w:lastColumn="0" w:oddVBand="0" w:evenVBand="0" w:oddHBand="0" w:evenHBand="0" w:firstRowFirstColumn="0" w:firstRowLastColumn="0" w:lastRowFirstColumn="0" w:lastRowLastColumn="0"/>
            <w:tcW w:w="892" w:type="pct"/>
            <w:tcBorders>
              <w:top w:val="nil"/>
            </w:tcBorders>
          </w:tcPr>
          <w:p w14:paraId="685A8647" w14:textId="77777777" w:rsidR="00080005" w:rsidRPr="006A5F43" w:rsidRDefault="00080005" w:rsidP="00292A09">
            <w:pPr>
              <w:autoSpaceDE w:val="0"/>
              <w:autoSpaceDN w:val="0"/>
              <w:adjustRightInd w:val="0"/>
              <w:spacing w:after="120"/>
              <w:rPr>
                <w:rFonts w:asciiTheme="majorHAnsi" w:hAnsiTheme="majorHAnsi"/>
              </w:rPr>
            </w:pPr>
            <w:r>
              <w:rPr>
                <w:rFonts w:asciiTheme="majorHAnsi" w:hAnsiTheme="majorHAnsi"/>
              </w:rPr>
              <w:t>Number of Subjects</w:t>
            </w:r>
          </w:p>
        </w:tc>
        <w:tc>
          <w:tcPr>
            <w:tcW w:w="441" w:type="pct"/>
            <w:tcBorders>
              <w:top w:val="single" w:sz="4" w:space="0" w:color="auto"/>
            </w:tcBorders>
          </w:tcPr>
          <w:p w14:paraId="73DE4481"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142</w:t>
            </w:r>
          </w:p>
          <w:p w14:paraId="30F70C97"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5" w:type="pct"/>
            <w:tcBorders>
              <w:top w:val="single" w:sz="4" w:space="0" w:color="auto"/>
            </w:tcBorders>
          </w:tcPr>
          <w:p w14:paraId="10AABCEC"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107</w:t>
            </w:r>
          </w:p>
          <w:p w14:paraId="011E68D4"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80" w:type="pct"/>
            <w:tcBorders>
              <w:top w:val="single" w:sz="4" w:space="0" w:color="auto"/>
            </w:tcBorders>
          </w:tcPr>
          <w:p w14:paraId="06A83E3F"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91</w:t>
            </w:r>
          </w:p>
          <w:p w14:paraId="7F68B753"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32" w:type="pct"/>
            <w:tcBorders>
              <w:top w:val="single" w:sz="4" w:space="0" w:color="auto"/>
            </w:tcBorders>
          </w:tcPr>
          <w:p w14:paraId="6F4DD894"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43</w:t>
            </w:r>
          </w:p>
          <w:p w14:paraId="187A963C"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97" w:type="pct"/>
            <w:tcBorders>
              <w:top w:val="single" w:sz="4" w:space="0" w:color="auto"/>
            </w:tcBorders>
          </w:tcPr>
          <w:p w14:paraId="31E2480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22</w:t>
            </w:r>
          </w:p>
          <w:p w14:paraId="50F0F76C"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7" w:type="pct"/>
            <w:tcBorders>
              <w:top w:val="single" w:sz="4" w:space="0" w:color="auto"/>
            </w:tcBorders>
          </w:tcPr>
          <w:p w14:paraId="4750D8C1"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13</w:t>
            </w:r>
          </w:p>
          <w:p w14:paraId="03983AE2"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47" w:type="pct"/>
            <w:tcBorders>
              <w:top w:val="single" w:sz="4" w:space="0" w:color="auto"/>
            </w:tcBorders>
          </w:tcPr>
          <w:p w14:paraId="0217B09E"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418</w:t>
            </w:r>
          </w:p>
          <w:p w14:paraId="61DF5FEF"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80005" w:rsidRPr="006A5F43" w14:paraId="3FF38671" w14:textId="77777777" w:rsidTr="00080005">
        <w:tc>
          <w:tcPr>
            <w:cnfStyle w:val="001000000000" w:firstRow="0" w:lastRow="0" w:firstColumn="1" w:lastColumn="0" w:oddVBand="0" w:evenVBand="0" w:oddHBand="0" w:evenHBand="0" w:firstRowFirstColumn="0" w:firstRowLastColumn="0" w:lastRowFirstColumn="0" w:lastRowLastColumn="0"/>
            <w:tcW w:w="892" w:type="pct"/>
          </w:tcPr>
          <w:p w14:paraId="601F6F85" w14:textId="77777777" w:rsidR="00080005" w:rsidRPr="006A5F43" w:rsidRDefault="00080005" w:rsidP="00292A09">
            <w:pPr>
              <w:autoSpaceDE w:val="0"/>
              <w:autoSpaceDN w:val="0"/>
              <w:adjustRightInd w:val="0"/>
              <w:spacing w:after="120"/>
              <w:rPr>
                <w:rFonts w:asciiTheme="majorHAnsi" w:hAnsiTheme="majorHAnsi"/>
              </w:rPr>
            </w:pPr>
            <w:r w:rsidRPr="006A5F43">
              <w:rPr>
                <w:rFonts w:asciiTheme="majorHAnsi" w:hAnsiTheme="majorHAnsi"/>
              </w:rPr>
              <w:lastRenderedPageBreak/>
              <w:t>Female</w:t>
            </w:r>
            <w:r>
              <w:rPr>
                <w:rFonts w:asciiTheme="majorHAnsi" w:hAnsiTheme="majorHAnsi"/>
              </w:rPr>
              <w:t xml:space="preserve"> N</w:t>
            </w:r>
            <w:r w:rsidRPr="007A0F6A">
              <w:rPr>
                <w:rFonts w:asciiTheme="majorHAnsi" w:hAnsiTheme="majorHAnsi"/>
                <w:vertAlign w:val="superscript"/>
              </w:rPr>
              <w:t>3</w:t>
            </w:r>
            <w:r>
              <w:rPr>
                <w:rFonts w:asciiTheme="majorHAnsi" w:hAnsiTheme="majorHAnsi"/>
              </w:rPr>
              <w:t>, %</w:t>
            </w:r>
          </w:p>
        </w:tc>
        <w:tc>
          <w:tcPr>
            <w:tcW w:w="441" w:type="pct"/>
          </w:tcPr>
          <w:p w14:paraId="31061D8E"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104</w:t>
            </w:r>
          </w:p>
          <w:p w14:paraId="52A89B1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93.27%</w:t>
            </w:r>
          </w:p>
        </w:tc>
        <w:tc>
          <w:tcPr>
            <w:tcW w:w="605" w:type="pct"/>
          </w:tcPr>
          <w:p w14:paraId="2951A3C8"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77</w:t>
            </w:r>
          </w:p>
          <w:p w14:paraId="3C0509DF"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88.31%</w:t>
            </w:r>
          </w:p>
        </w:tc>
        <w:tc>
          <w:tcPr>
            <w:tcW w:w="580" w:type="pct"/>
          </w:tcPr>
          <w:p w14:paraId="28587E2A"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72</w:t>
            </w:r>
          </w:p>
          <w:p w14:paraId="65ECD60A"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81.94%</w:t>
            </w:r>
          </w:p>
        </w:tc>
        <w:tc>
          <w:tcPr>
            <w:tcW w:w="632" w:type="pct"/>
          </w:tcPr>
          <w:p w14:paraId="49DC3418"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35</w:t>
            </w:r>
          </w:p>
          <w:p w14:paraId="1FC75D3B"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80%</w:t>
            </w:r>
          </w:p>
        </w:tc>
        <w:tc>
          <w:tcPr>
            <w:tcW w:w="597" w:type="pct"/>
          </w:tcPr>
          <w:p w14:paraId="3E50521D"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2A6AE66C"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07" w:type="pct"/>
          </w:tcPr>
          <w:p w14:paraId="6216867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1530624A"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47" w:type="pct"/>
          </w:tcPr>
          <w:p w14:paraId="7C375E1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312</w:t>
            </w:r>
            <w:r w:rsidRPr="00F95BDD">
              <w:rPr>
                <w:rFonts w:asciiTheme="majorHAnsi" w:hAnsiTheme="majorHAnsi"/>
                <w:vertAlign w:val="superscript"/>
              </w:rPr>
              <w:t>1</w:t>
            </w:r>
          </w:p>
          <w:p w14:paraId="732079F4"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88.46%</w:t>
            </w:r>
          </w:p>
        </w:tc>
      </w:tr>
    </w:tbl>
    <w:p w14:paraId="4179DC37" w14:textId="77777777" w:rsidR="00080005" w:rsidRDefault="00080005" w:rsidP="008F60A0">
      <w:pPr>
        <w:autoSpaceDE w:val="0"/>
        <w:autoSpaceDN w:val="0"/>
        <w:adjustRightInd w:val="0"/>
        <w:spacing w:after="120"/>
        <w:ind w:left="1440"/>
        <w:rPr>
          <w:sz w:val="22"/>
          <w:szCs w:val="22"/>
        </w:rPr>
      </w:pPr>
    </w:p>
    <w:p w14:paraId="093EB4E4" w14:textId="77777777" w:rsidR="009F6BDD" w:rsidRDefault="009F6BDD" w:rsidP="009F6BDD">
      <w:pPr>
        <w:autoSpaceDE w:val="0"/>
        <w:autoSpaceDN w:val="0"/>
        <w:adjustRightInd w:val="0"/>
        <w:spacing w:after="120"/>
        <w:ind w:left="1440"/>
        <w:rPr>
          <w:sz w:val="22"/>
          <w:szCs w:val="22"/>
        </w:rPr>
      </w:pPr>
    </w:p>
    <w:p w14:paraId="50B03320" w14:textId="5E2BF659" w:rsidR="00927CF6" w:rsidRPr="001247C9" w:rsidRDefault="00927CF6" w:rsidP="00927CF6">
      <w:pPr>
        <w:numPr>
          <w:ilvl w:val="1"/>
          <w:numId w:val="19"/>
        </w:numPr>
        <w:autoSpaceDE w:val="0"/>
        <w:autoSpaceDN w:val="0"/>
        <w:adjustRightInd w:val="0"/>
        <w:spacing w:after="120"/>
        <w:rPr>
          <w:color w:val="0000FF"/>
          <w:sz w:val="22"/>
          <w:szCs w:val="22"/>
        </w:rPr>
      </w:pPr>
      <w:r w:rsidRPr="001247C9">
        <w:rPr>
          <w:color w:val="0000FF"/>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commentRangeStart w:id="10"/>
      <w:r w:rsidRPr="001247C9">
        <w:rPr>
          <w:color w:val="0000FF"/>
          <w:sz w:val="22"/>
          <w:szCs w:val="22"/>
        </w:rPr>
        <w:t>).</w:t>
      </w:r>
      <w:r w:rsidR="002D5DDE">
        <w:rPr>
          <w:color w:val="0000FF"/>
          <w:sz w:val="22"/>
          <w:szCs w:val="22"/>
        </w:rPr>
        <w:t xml:space="preserve"> </w:t>
      </w:r>
      <w:commentRangeEnd w:id="10"/>
      <w:r w:rsidR="002D5DDE">
        <w:rPr>
          <w:rStyle w:val="CommentReference"/>
        </w:rPr>
        <w:commentReference w:id="10"/>
      </w:r>
    </w:p>
    <w:p w14:paraId="2B156BE0" w14:textId="25F465DE" w:rsidR="00292A09" w:rsidRDefault="00292A09" w:rsidP="00E044F1">
      <w:pPr>
        <w:autoSpaceDE w:val="0"/>
        <w:autoSpaceDN w:val="0"/>
        <w:adjustRightInd w:val="0"/>
        <w:ind w:left="1080"/>
        <w:jc w:val="both"/>
        <w:rPr>
          <w:rFonts w:asciiTheme="majorHAnsi" w:hAnsiTheme="majorHAnsi"/>
          <w:sz w:val="22"/>
          <w:szCs w:val="22"/>
        </w:rPr>
      </w:pPr>
      <w:r>
        <w:rPr>
          <w:rFonts w:asciiTheme="majorHAnsi" w:hAnsiTheme="majorHAnsi"/>
          <w:sz w:val="22"/>
          <w:szCs w:val="22"/>
        </w:rPr>
        <w:t xml:space="preserve">The hazard ratio of </w:t>
      </w:r>
      <w:r w:rsidRPr="007D794A">
        <w:rPr>
          <w:rFonts w:asciiTheme="majorHAnsi" w:hAnsiTheme="majorHAnsi"/>
          <w:sz w:val="22"/>
          <w:szCs w:val="22"/>
        </w:rPr>
        <w:t>pro</w:t>
      </w:r>
      <w:r>
        <w:rPr>
          <w:rFonts w:asciiTheme="majorHAnsi" w:hAnsiTheme="majorHAnsi"/>
          <w:sz w:val="22"/>
          <w:szCs w:val="22"/>
        </w:rPr>
        <w:t xml:space="preserve">portional hazards regression </w:t>
      </w:r>
      <w:r w:rsidRPr="007D794A">
        <w:rPr>
          <w:rFonts w:asciiTheme="majorHAnsi" w:hAnsiTheme="majorHAnsi"/>
          <w:sz w:val="22"/>
          <w:szCs w:val="22"/>
        </w:rPr>
        <w:t>model</w:t>
      </w:r>
      <w:r>
        <w:rPr>
          <w:rFonts w:asciiTheme="majorHAnsi" w:hAnsiTheme="majorHAnsi"/>
          <w:sz w:val="22"/>
          <w:szCs w:val="22"/>
        </w:rPr>
        <w:t xml:space="preserve"> of </w:t>
      </w:r>
      <w:r w:rsidRPr="007D794A">
        <w:rPr>
          <w:rFonts w:asciiTheme="majorHAnsi" w:hAnsiTheme="majorHAnsi"/>
          <w:sz w:val="22"/>
          <w:szCs w:val="22"/>
        </w:rPr>
        <w:t>distributions of time to death of any cause among groups of baseline serum</w:t>
      </w:r>
      <w:r>
        <w:rPr>
          <w:rFonts w:asciiTheme="majorHAnsi" w:hAnsiTheme="majorHAnsi"/>
          <w:sz w:val="22"/>
          <w:szCs w:val="22"/>
        </w:rPr>
        <w:t xml:space="preserve"> log transformed (base 2)</w:t>
      </w:r>
      <w:r w:rsidRPr="007D794A">
        <w:rPr>
          <w:rFonts w:asciiTheme="majorHAnsi" w:hAnsiTheme="majorHAnsi"/>
          <w:sz w:val="22"/>
          <w:szCs w:val="22"/>
        </w:rPr>
        <w:t xml:space="preserve"> bilirubin levels</w:t>
      </w:r>
      <w:r>
        <w:rPr>
          <w:rFonts w:asciiTheme="majorHAnsi" w:hAnsiTheme="majorHAnsi"/>
          <w:sz w:val="22"/>
          <w:szCs w:val="22"/>
        </w:rPr>
        <w:t xml:space="preserve"> is 1.98 (95% CI </w:t>
      </w:r>
      <w:r w:rsidRPr="001247C9">
        <w:rPr>
          <w:rFonts w:asciiTheme="majorHAnsi" w:hAnsiTheme="majorHAnsi"/>
          <w:sz w:val="22"/>
          <w:szCs w:val="22"/>
        </w:rPr>
        <w:t>1.781 - 2.212)</w:t>
      </w:r>
      <w:r>
        <w:rPr>
          <w:rFonts w:asciiTheme="majorHAnsi" w:hAnsiTheme="majorHAnsi"/>
          <w:sz w:val="22"/>
          <w:szCs w:val="22"/>
        </w:rPr>
        <w:t>.</w:t>
      </w:r>
    </w:p>
    <w:p w14:paraId="079F8CD2" w14:textId="1757C119" w:rsidR="00292A09" w:rsidRDefault="001247C9" w:rsidP="00E044F1">
      <w:pPr>
        <w:autoSpaceDE w:val="0"/>
        <w:autoSpaceDN w:val="0"/>
        <w:adjustRightInd w:val="0"/>
        <w:ind w:left="1080"/>
        <w:jc w:val="both"/>
        <w:rPr>
          <w:rFonts w:asciiTheme="majorHAnsi" w:hAnsiTheme="majorHAnsi"/>
          <w:sz w:val="22"/>
          <w:szCs w:val="22"/>
        </w:rPr>
      </w:pPr>
      <w:r>
        <w:rPr>
          <w:rFonts w:asciiTheme="majorHAnsi" w:hAnsiTheme="majorHAnsi"/>
          <w:sz w:val="22"/>
          <w:szCs w:val="22"/>
        </w:rPr>
        <w:t>In contrast, t</w:t>
      </w:r>
      <w:r w:rsidR="00292A09">
        <w:rPr>
          <w:rFonts w:asciiTheme="majorHAnsi" w:hAnsiTheme="majorHAnsi"/>
          <w:sz w:val="22"/>
          <w:szCs w:val="22"/>
        </w:rPr>
        <w:t xml:space="preserve">he hazard ratio of </w:t>
      </w:r>
      <w:r w:rsidR="00292A09" w:rsidRPr="007D794A">
        <w:rPr>
          <w:rFonts w:asciiTheme="majorHAnsi" w:hAnsiTheme="majorHAnsi"/>
          <w:sz w:val="22"/>
          <w:szCs w:val="22"/>
        </w:rPr>
        <w:t>pro</w:t>
      </w:r>
      <w:r w:rsidR="00292A09">
        <w:rPr>
          <w:rFonts w:asciiTheme="majorHAnsi" w:hAnsiTheme="majorHAnsi"/>
          <w:sz w:val="22"/>
          <w:szCs w:val="22"/>
        </w:rPr>
        <w:t xml:space="preserve">portional hazards regression </w:t>
      </w:r>
      <w:r w:rsidR="00292A09" w:rsidRPr="007D794A">
        <w:rPr>
          <w:rFonts w:asciiTheme="majorHAnsi" w:hAnsiTheme="majorHAnsi"/>
          <w:sz w:val="22"/>
          <w:szCs w:val="22"/>
        </w:rPr>
        <w:t>model</w:t>
      </w:r>
      <w:r w:rsidR="00292A09">
        <w:rPr>
          <w:rFonts w:asciiTheme="majorHAnsi" w:hAnsiTheme="majorHAnsi"/>
          <w:sz w:val="22"/>
          <w:szCs w:val="22"/>
        </w:rPr>
        <w:t xml:space="preserve"> of </w:t>
      </w:r>
      <w:r w:rsidR="00292A09" w:rsidRPr="007D794A">
        <w:rPr>
          <w:rFonts w:asciiTheme="majorHAnsi" w:hAnsiTheme="majorHAnsi"/>
          <w:sz w:val="22"/>
          <w:szCs w:val="22"/>
        </w:rPr>
        <w:t>distributions of time to death of any cause among groups of baseline serum</w:t>
      </w:r>
      <w:r w:rsidR="00292A09">
        <w:rPr>
          <w:rFonts w:asciiTheme="majorHAnsi" w:hAnsiTheme="majorHAnsi"/>
          <w:sz w:val="22"/>
          <w:szCs w:val="22"/>
        </w:rPr>
        <w:t xml:space="preserve"> log transformed (base 2)</w:t>
      </w:r>
      <w:r w:rsidR="00292A09" w:rsidRPr="007D794A">
        <w:rPr>
          <w:rFonts w:asciiTheme="majorHAnsi" w:hAnsiTheme="majorHAnsi"/>
          <w:sz w:val="22"/>
          <w:szCs w:val="22"/>
        </w:rPr>
        <w:t xml:space="preserve"> bilirubin levels</w:t>
      </w:r>
      <w:r w:rsidR="00292A09">
        <w:rPr>
          <w:rFonts w:asciiTheme="majorHAnsi" w:hAnsiTheme="majorHAnsi"/>
          <w:sz w:val="22"/>
          <w:szCs w:val="22"/>
        </w:rPr>
        <w:t xml:space="preserve"> adjusting for age and sex is 2.108 (95% CI </w:t>
      </w:r>
      <w:r w:rsidR="00292A09" w:rsidRPr="001247C9">
        <w:rPr>
          <w:rFonts w:asciiTheme="majorHAnsi" w:hAnsiTheme="majorHAnsi"/>
          <w:sz w:val="22"/>
          <w:szCs w:val="22"/>
        </w:rPr>
        <w:t>1.840 - 2.416)</w:t>
      </w:r>
      <w:r w:rsidR="00292A09">
        <w:rPr>
          <w:rFonts w:asciiTheme="majorHAnsi" w:hAnsiTheme="majorHAnsi"/>
          <w:sz w:val="22"/>
          <w:szCs w:val="22"/>
        </w:rPr>
        <w:t>.</w:t>
      </w:r>
    </w:p>
    <w:p w14:paraId="1965A059" w14:textId="2067A3F7" w:rsidR="00292A09" w:rsidRDefault="001247C9" w:rsidP="00E044F1">
      <w:pPr>
        <w:autoSpaceDE w:val="0"/>
        <w:autoSpaceDN w:val="0"/>
        <w:adjustRightInd w:val="0"/>
        <w:ind w:left="1080"/>
        <w:jc w:val="both"/>
        <w:rPr>
          <w:rFonts w:asciiTheme="majorHAnsi" w:hAnsiTheme="majorHAnsi"/>
          <w:sz w:val="22"/>
          <w:szCs w:val="22"/>
        </w:rPr>
      </w:pPr>
      <w:r>
        <w:rPr>
          <w:rFonts w:asciiTheme="majorHAnsi" w:hAnsiTheme="majorHAnsi"/>
          <w:sz w:val="22"/>
          <w:szCs w:val="22"/>
        </w:rPr>
        <w:t>Because of the non-</w:t>
      </w:r>
      <w:r w:rsidR="00292A09">
        <w:rPr>
          <w:rFonts w:asciiTheme="majorHAnsi" w:hAnsiTheme="majorHAnsi"/>
          <w:sz w:val="22"/>
          <w:szCs w:val="22"/>
        </w:rPr>
        <w:t xml:space="preserve">collapsibility of proportional hazard regression model to confounders, the change in hazard ratios is suggestive of </w:t>
      </w:r>
      <w:r>
        <w:rPr>
          <w:rFonts w:asciiTheme="majorHAnsi" w:hAnsiTheme="majorHAnsi"/>
          <w:sz w:val="22"/>
          <w:szCs w:val="22"/>
        </w:rPr>
        <w:t xml:space="preserve">a </w:t>
      </w:r>
      <w:r w:rsidR="00292A09">
        <w:rPr>
          <w:rFonts w:asciiTheme="majorHAnsi" w:hAnsiTheme="majorHAnsi"/>
          <w:sz w:val="22"/>
          <w:szCs w:val="22"/>
        </w:rPr>
        <w:t>precision effect of sex or age.</w:t>
      </w:r>
    </w:p>
    <w:p w14:paraId="35D90461" w14:textId="377466FB" w:rsidR="00E20141" w:rsidRPr="00E20141" w:rsidRDefault="00E20141" w:rsidP="00E20141">
      <w:pPr>
        <w:autoSpaceDE w:val="0"/>
        <w:autoSpaceDN w:val="0"/>
        <w:adjustRightInd w:val="0"/>
        <w:ind w:left="1080"/>
        <w:rPr>
          <w:rFonts w:ascii="Courier" w:hAnsi="Courier"/>
          <w:sz w:val="16"/>
          <w:szCs w:val="16"/>
        </w:rPr>
      </w:pPr>
    </w:p>
    <w:p w14:paraId="793153E6" w14:textId="01FDCA67" w:rsidR="00EE0C34" w:rsidRPr="009F6BDD" w:rsidRDefault="009F6BDD" w:rsidP="009F6BDD">
      <w:pPr>
        <w:autoSpaceDE w:val="0"/>
        <w:autoSpaceDN w:val="0"/>
        <w:adjustRightInd w:val="0"/>
        <w:ind w:left="1080"/>
        <w:rPr>
          <w:rFonts w:ascii="Courier" w:hAnsi="Courier"/>
          <w:sz w:val="16"/>
          <w:szCs w:val="16"/>
        </w:rPr>
      </w:pPr>
      <w:r>
        <w:rPr>
          <w:rFonts w:ascii="Courier" w:hAnsi="Courier"/>
          <w:sz w:val="16"/>
          <w:szCs w:val="16"/>
        </w:rPr>
        <w:t xml:space="preserve"> </w:t>
      </w:r>
    </w:p>
    <w:p w14:paraId="12A62D84" w14:textId="43B02C19" w:rsidR="00927CF6" w:rsidRPr="00E044F1" w:rsidRDefault="00927CF6" w:rsidP="00927CF6">
      <w:pPr>
        <w:numPr>
          <w:ilvl w:val="1"/>
          <w:numId w:val="19"/>
        </w:numPr>
        <w:autoSpaceDE w:val="0"/>
        <w:autoSpaceDN w:val="0"/>
        <w:adjustRightInd w:val="0"/>
        <w:spacing w:after="120"/>
        <w:rPr>
          <w:color w:val="0000FF"/>
          <w:sz w:val="22"/>
          <w:szCs w:val="22"/>
        </w:rPr>
      </w:pPr>
      <w:r w:rsidRPr="00E044F1">
        <w:rPr>
          <w:color w:val="0000FF"/>
          <w:sz w:val="22"/>
          <w:szCs w:val="22"/>
        </w:rPr>
        <w:t>Provide full inference regarding an association between death and bilirubin after adjustment for sex and age.</w:t>
      </w:r>
      <w:commentRangeStart w:id="11"/>
      <w:r w:rsidR="002D5DDE">
        <w:rPr>
          <w:color w:val="0000FF"/>
          <w:sz w:val="22"/>
          <w:szCs w:val="22"/>
        </w:rPr>
        <w:t xml:space="preserve"> </w:t>
      </w:r>
      <w:commentRangeEnd w:id="11"/>
      <w:r w:rsidR="002D5DDE">
        <w:rPr>
          <w:rStyle w:val="CommentReference"/>
        </w:rPr>
        <w:commentReference w:id="11"/>
      </w:r>
    </w:p>
    <w:p w14:paraId="5E90F8C7" w14:textId="77777777" w:rsidR="001247C9" w:rsidRPr="00AA54BE" w:rsidRDefault="00E93AC4" w:rsidP="00E044F1">
      <w:pPr>
        <w:autoSpaceDE w:val="0"/>
        <w:autoSpaceDN w:val="0"/>
        <w:adjustRightInd w:val="0"/>
        <w:ind w:left="1080"/>
        <w:jc w:val="both"/>
        <w:rPr>
          <w:rFonts w:asciiTheme="majorHAnsi" w:hAnsiTheme="majorHAnsi"/>
          <w:sz w:val="22"/>
          <w:szCs w:val="22"/>
        </w:rPr>
      </w:pPr>
      <w:r w:rsidRPr="001247C9">
        <w:rPr>
          <w:rFonts w:asciiTheme="majorHAnsi" w:hAnsiTheme="majorHAnsi"/>
          <w:sz w:val="22"/>
          <w:szCs w:val="22"/>
        </w:rPr>
        <w:t xml:space="preserve">The hazard ratio in the unadjusted model indicates a 1.98 fold higher risk in instantaneous death for every </w:t>
      </w:r>
      <w:r w:rsidR="001247C9" w:rsidRPr="001247C9">
        <w:rPr>
          <w:rFonts w:asciiTheme="majorHAnsi" w:hAnsiTheme="majorHAnsi"/>
          <w:sz w:val="22"/>
          <w:szCs w:val="22"/>
        </w:rPr>
        <w:t>two-fold</w:t>
      </w:r>
      <w:r w:rsidRPr="001247C9">
        <w:rPr>
          <w:rFonts w:asciiTheme="majorHAnsi" w:hAnsiTheme="majorHAnsi"/>
          <w:sz w:val="22"/>
          <w:szCs w:val="22"/>
        </w:rPr>
        <w:t xml:space="preserve"> increase in baseline serum bilirubin level. </w:t>
      </w:r>
      <w:r w:rsidR="001247C9" w:rsidRPr="001247C9">
        <w:rPr>
          <w:rFonts w:asciiTheme="majorHAnsi" w:hAnsiTheme="majorHAnsi"/>
          <w:sz w:val="22"/>
          <w:szCs w:val="22"/>
        </w:rPr>
        <w:t>After adjusting</w:t>
      </w:r>
      <w:r w:rsidR="00E20141" w:rsidRPr="001247C9">
        <w:rPr>
          <w:rFonts w:asciiTheme="majorHAnsi" w:hAnsiTheme="majorHAnsi"/>
          <w:sz w:val="22"/>
          <w:szCs w:val="22"/>
        </w:rPr>
        <w:t xml:space="preserve"> for age and sex, </w:t>
      </w:r>
      <w:r w:rsidRPr="001247C9">
        <w:rPr>
          <w:rFonts w:asciiTheme="majorHAnsi" w:hAnsiTheme="majorHAnsi"/>
          <w:sz w:val="22"/>
          <w:szCs w:val="22"/>
        </w:rPr>
        <w:t xml:space="preserve">the proportional hazards regression increased to 2.11 fold higher in the group with the higher bilirubin. </w:t>
      </w:r>
      <w:r w:rsidR="001247C9" w:rsidRPr="001247C9">
        <w:rPr>
          <w:rFonts w:asciiTheme="majorHAnsi" w:hAnsiTheme="majorHAnsi"/>
          <w:sz w:val="22"/>
          <w:szCs w:val="22"/>
        </w:rPr>
        <w:t>The 95% CI indicate that this estimate will not be unusual if the true risk of instantaneous death is anywhere between 1.84 to 2.42 fold higher in the group with higher baseline serum bilirubin levels. This estimate is statistically significant with a two-sided p value (P&lt;0.0001) thus rejecting the null hypothesis that states that the risk of death from any cause is not associated with baseline serum bilirubin levels.</w:t>
      </w:r>
    </w:p>
    <w:p w14:paraId="5CC882DF" w14:textId="0271912D" w:rsidR="00E93AC4" w:rsidRDefault="00E93AC4" w:rsidP="00E044F1">
      <w:pPr>
        <w:autoSpaceDE w:val="0"/>
        <w:autoSpaceDN w:val="0"/>
        <w:adjustRightInd w:val="0"/>
        <w:ind w:left="1080"/>
        <w:jc w:val="both"/>
        <w:rPr>
          <w:rFonts w:asciiTheme="majorHAnsi" w:hAnsiTheme="majorHAnsi"/>
          <w:sz w:val="22"/>
          <w:szCs w:val="22"/>
        </w:rPr>
      </w:pPr>
      <w:r w:rsidRPr="001247C9">
        <w:rPr>
          <w:rFonts w:asciiTheme="majorHAnsi" w:hAnsiTheme="majorHAnsi"/>
          <w:sz w:val="22"/>
          <w:szCs w:val="22"/>
        </w:rPr>
        <w:t>The difference in hazard ratios</w:t>
      </w:r>
      <w:r w:rsidR="001247C9" w:rsidRPr="001247C9">
        <w:rPr>
          <w:rFonts w:asciiTheme="majorHAnsi" w:hAnsiTheme="majorHAnsi"/>
          <w:sz w:val="22"/>
          <w:szCs w:val="22"/>
        </w:rPr>
        <w:t xml:space="preserve"> between the non-adjusted and adjusted model is suggestive of a precision effect of</w:t>
      </w:r>
      <w:r w:rsidRPr="001247C9">
        <w:rPr>
          <w:rFonts w:asciiTheme="majorHAnsi" w:hAnsiTheme="majorHAnsi"/>
          <w:sz w:val="22"/>
          <w:szCs w:val="22"/>
        </w:rPr>
        <w:t xml:space="preserve"> </w:t>
      </w:r>
      <w:r w:rsidR="001247C9" w:rsidRPr="001247C9">
        <w:rPr>
          <w:rFonts w:asciiTheme="majorHAnsi" w:hAnsiTheme="majorHAnsi"/>
          <w:sz w:val="22"/>
          <w:szCs w:val="22"/>
        </w:rPr>
        <w:t>age or</w:t>
      </w:r>
      <w:r w:rsidRPr="001247C9">
        <w:rPr>
          <w:rFonts w:asciiTheme="majorHAnsi" w:hAnsiTheme="majorHAnsi"/>
          <w:sz w:val="22"/>
          <w:szCs w:val="22"/>
        </w:rPr>
        <w:t xml:space="preserve"> sex</w:t>
      </w:r>
      <w:r w:rsidR="001247C9" w:rsidRPr="001247C9">
        <w:rPr>
          <w:rFonts w:asciiTheme="majorHAnsi" w:hAnsiTheme="majorHAnsi"/>
          <w:sz w:val="22"/>
          <w:szCs w:val="22"/>
        </w:rPr>
        <w:t xml:space="preserve">. </w:t>
      </w:r>
      <w:r w:rsidRPr="001247C9">
        <w:rPr>
          <w:rFonts w:asciiTheme="majorHAnsi" w:hAnsiTheme="majorHAnsi"/>
          <w:sz w:val="22"/>
          <w:szCs w:val="22"/>
        </w:rPr>
        <w:t xml:space="preserve"> </w:t>
      </w:r>
    </w:p>
    <w:p w14:paraId="061ACA46" w14:textId="77777777" w:rsidR="00E044F1" w:rsidRPr="001247C9" w:rsidRDefault="00E044F1" w:rsidP="00E044F1">
      <w:pPr>
        <w:autoSpaceDE w:val="0"/>
        <w:autoSpaceDN w:val="0"/>
        <w:adjustRightInd w:val="0"/>
        <w:ind w:left="1080"/>
        <w:jc w:val="both"/>
        <w:rPr>
          <w:rFonts w:asciiTheme="majorHAnsi" w:hAnsiTheme="majorHAnsi"/>
          <w:sz w:val="22"/>
          <w:szCs w:val="22"/>
        </w:rPr>
      </w:pPr>
    </w:p>
    <w:p w14:paraId="0C2CE118" w14:textId="0A9492ED" w:rsidR="00927CF6" w:rsidRPr="009172D2" w:rsidRDefault="00927CF6" w:rsidP="00927CF6">
      <w:pPr>
        <w:numPr>
          <w:ilvl w:val="0"/>
          <w:numId w:val="19"/>
        </w:numPr>
        <w:autoSpaceDE w:val="0"/>
        <w:autoSpaceDN w:val="0"/>
        <w:adjustRightInd w:val="0"/>
        <w:spacing w:after="120"/>
        <w:rPr>
          <w:color w:val="0000FF"/>
          <w:sz w:val="22"/>
          <w:szCs w:val="22"/>
        </w:rPr>
      </w:pPr>
      <w:r w:rsidRPr="009172D2">
        <w:rPr>
          <w:color w:val="0000FF"/>
          <w:sz w:val="22"/>
          <w:szCs w:val="22"/>
        </w:rPr>
        <w:t xml:space="preserve">Note that in the above analyses, we completely ignored the intervention in the RCT? What impact could this </w:t>
      </w:r>
      <w:proofErr w:type="gramStart"/>
      <w:r w:rsidRPr="009172D2">
        <w:rPr>
          <w:color w:val="0000FF"/>
          <w:sz w:val="22"/>
          <w:szCs w:val="22"/>
        </w:rPr>
        <w:t>have</w:t>
      </w:r>
      <w:proofErr w:type="gramEnd"/>
      <w:r w:rsidRPr="009172D2">
        <w:rPr>
          <w:color w:val="0000FF"/>
          <w:sz w:val="22"/>
          <w:szCs w:val="22"/>
        </w:rPr>
        <w:t xml:space="preserve"> had on our results?</w:t>
      </w:r>
      <w:commentRangeStart w:id="12"/>
      <w:r w:rsidR="002D5DDE">
        <w:rPr>
          <w:color w:val="0000FF"/>
          <w:sz w:val="22"/>
          <w:szCs w:val="22"/>
        </w:rPr>
        <w:t xml:space="preserve"> </w:t>
      </w:r>
      <w:commentRangeEnd w:id="12"/>
      <w:r w:rsidR="002D5DDE">
        <w:rPr>
          <w:rStyle w:val="CommentReference"/>
        </w:rPr>
        <w:commentReference w:id="12"/>
      </w:r>
    </w:p>
    <w:p w14:paraId="248661AF" w14:textId="5BF1FB6C" w:rsidR="00C405BF" w:rsidRPr="00C405BF" w:rsidRDefault="009172D2" w:rsidP="00E044F1">
      <w:pPr>
        <w:autoSpaceDE w:val="0"/>
        <w:autoSpaceDN w:val="0"/>
        <w:adjustRightInd w:val="0"/>
        <w:spacing w:after="120"/>
        <w:ind w:left="720"/>
        <w:jc w:val="both"/>
        <w:rPr>
          <w:rFonts w:asciiTheme="majorHAnsi" w:hAnsiTheme="majorHAnsi"/>
          <w:sz w:val="22"/>
          <w:szCs w:val="22"/>
        </w:rPr>
      </w:pPr>
      <w:r>
        <w:rPr>
          <w:rFonts w:asciiTheme="majorHAnsi" w:hAnsiTheme="majorHAnsi"/>
          <w:sz w:val="22"/>
          <w:szCs w:val="22"/>
        </w:rPr>
        <w:t>The intervention could be associated with exposure bilirubin level (predictor) – more likely and with outcome (death) if toxic – which is less likely as this drug would have been tested and approved before use and testing in human subjects. It therefore could be potentially a precision variable in the model and would not change the general trend of the increasing HR with increased baseline serum bilirubin levels. Even if were a confounder, because of the non-</w:t>
      </w:r>
      <w:proofErr w:type="spellStart"/>
      <w:r>
        <w:rPr>
          <w:rFonts w:asciiTheme="majorHAnsi" w:hAnsiTheme="majorHAnsi"/>
          <w:sz w:val="22"/>
          <w:szCs w:val="22"/>
        </w:rPr>
        <w:t>collapsable</w:t>
      </w:r>
      <w:proofErr w:type="spellEnd"/>
      <w:r>
        <w:rPr>
          <w:rFonts w:asciiTheme="majorHAnsi" w:hAnsiTheme="majorHAnsi"/>
          <w:sz w:val="22"/>
          <w:szCs w:val="22"/>
        </w:rPr>
        <w:t xml:space="preserve"> nature of proportional hazard model to confounders, the HR estimates will not have been affected. </w:t>
      </w:r>
    </w:p>
    <w:p w14:paraId="06540ECA" w14:textId="77777777" w:rsidR="00C405BF" w:rsidRDefault="00C405BF" w:rsidP="00E20141">
      <w:pPr>
        <w:autoSpaceDE w:val="0"/>
        <w:autoSpaceDN w:val="0"/>
        <w:adjustRightInd w:val="0"/>
        <w:spacing w:after="120"/>
        <w:ind w:left="720"/>
        <w:rPr>
          <w:sz w:val="22"/>
          <w:szCs w:val="22"/>
        </w:rPr>
      </w:pPr>
    </w:p>
    <w:p w14:paraId="3BB93CA9" w14:textId="77777777" w:rsidR="00E20141" w:rsidRDefault="00E20141" w:rsidP="00E20141">
      <w:pPr>
        <w:autoSpaceDE w:val="0"/>
        <w:autoSpaceDN w:val="0"/>
        <w:adjustRightInd w:val="0"/>
        <w:spacing w:after="120"/>
        <w:ind w:left="720"/>
        <w:rPr>
          <w:sz w:val="22"/>
          <w:szCs w:val="22"/>
        </w:rPr>
      </w:pPr>
    </w:p>
    <w:p w14:paraId="30C41BC7" w14:textId="77777777" w:rsidR="009D5804" w:rsidRPr="009D5804" w:rsidRDefault="009D5804" w:rsidP="007B1360">
      <w:pPr>
        <w:pStyle w:val="PlainText"/>
        <w:rPr>
          <w:rFonts w:ascii="Times New Roman" w:hAnsi="Times New Roman" w:cs="Times New Roman"/>
          <w:sz w:val="22"/>
          <w:szCs w:val="22"/>
        </w:rPr>
      </w:pPr>
    </w:p>
    <w:sectPr w:rsidR="009D5804" w:rsidRPr="009D5804" w:rsidSect="006A5F43">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DE789CE" w14:textId="7F8C2742" w:rsidR="001B0E48" w:rsidRDefault="001B0E48">
      <w:pPr>
        <w:pStyle w:val="CommentText"/>
      </w:pPr>
      <w:r>
        <w:rPr>
          <w:rStyle w:val="CommentReference"/>
        </w:rPr>
        <w:annotationRef/>
      </w:r>
      <w:r>
        <w:t>Total:85/105</w:t>
      </w:r>
      <w:bookmarkStart w:id="1" w:name="_GoBack"/>
      <w:bookmarkEnd w:id="1"/>
    </w:p>
  </w:comment>
  <w:comment w:id="2" w:author="Author" w:initials="A">
    <w:p w14:paraId="479BBBC5" w14:textId="7B73F780" w:rsidR="002D5DDE" w:rsidRDefault="002D5DDE">
      <w:pPr>
        <w:pStyle w:val="CommentText"/>
      </w:pPr>
      <w:r>
        <w:rPr>
          <w:rStyle w:val="CommentReference"/>
        </w:rPr>
        <w:annotationRef/>
      </w:r>
      <w:r>
        <w:t>10</w:t>
      </w:r>
    </w:p>
  </w:comment>
  <w:comment w:id="3" w:author="Author" w:initials="A">
    <w:p w14:paraId="410507B6" w14:textId="77777777" w:rsidR="002D5DDE" w:rsidRDefault="002D5DDE">
      <w:pPr>
        <w:pStyle w:val="CommentText"/>
      </w:pPr>
      <w:r>
        <w:rPr>
          <w:rStyle w:val="CommentReference"/>
        </w:rPr>
        <w:annotationRef/>
      </w:r>
      <w:r>
        <w:t>5</w:t>
      </w:r>
    </w:p>
    <w:p w14:paraId="7CE49DF7" w14:textId="631C1FCF" w:rsidR="002D5DDE" w:rsidRPr="002D26E3" w:rsidRDefault="002D5DDE" w:rsidP="002D26E3">
      <w:pPr>
        <w:pStyle w:val="NormalWeb"/>
      </w:pPr>
      <w:r>
        <w:rPr>
          <w:rFonts w:ascii="TimesNewRomanPS" w:hAnsi="TimesNewRomanPS"/>
          <w:bCs/>
          <w:iCs/>
          <w:sz w:val="22"/>
          <w:szCs w:val="22"/>
        </w:rPr>
        <w:t xml:space="preserve">-5, did not mention the </w:t>
      </w:r>
      <w:r w:rsidRPr="002D26E3">
        <w:rPr>
          <w:rFonts w:ascii="TimesNewRomanPS" w:hAnsi="TimesNewRomanPS"/>
          <w:bCs/>
          <w:iCs/>
          <w:sz w:val="22"/>
          <w:szCs w:val="22"/>
        </w:rPr>
        <w:t xml:space="preserve">possibility that ignoring the censoring would have been potentially confounded </w:t>
      </w:r>
    </w:p>
    <w:p w14:paraId="2EB8BC73" w14:textId="79059DC4" w:rsidR="002D5DDE" w:rsidRDefault="002D5DDE">
      <w:pPr>
        <w:pStyle w:val="CommentText"/>
      </w:pPr>
    </w:p>
  </w:comment>
  <w:comment w:id="4" w:author="Author" w:initials="A">
    <w:p w14:paraId="258BC6D9" w14:textId="1A9C6A04" w:rsidR="002D5DDE" w:rsidRDefault="002D5DDE">
      <w:pPr>
        <w:pStyle w:val="CommentText"/>
      </w:pPr>
      <w:r>
        <w:rPr>
          <w:rStyle w:val="CommentReference"/>
        </w:rPr>
        <w:annotationRef/>
      </w:r>
      <w:r>
        <w:t>10</w:t>
      </w:r>
    </w:p>
  </w:comment>
  <w:comment w:id="5" w:author="Author" w:initials="A">
    <w:p w14:paraId="7D9BD478" w14:textId="66DC57A6" w:rsidR="002D5DDE" w:rsidRDefault="002D5DDE">
      <w:pPr>
        <w:pStyle w:val="CommentText"/>
      </w:pPr>
      <w:r>
        <w:rPr>
          <w:rStyle w:val="CommentReference"/>
        </w:rPr>
        <w:annotationRef/>
      </w:r>
      <w:r>
        <w:t>5</w:t>
      </w:r>
    </w:p>
  </w:comment>
  <w:comment w:id="6" w:author="Author" w:initials="A">
    <w:p w14:paraId="2E1B6541" w14:textId="13E4A66C" w:rsidR="002D5DDE" w:rsidRDefault="002D5DDE">
      <w:pPr>
        <w:pStyle w:val="CommentText"/>
      </w:pPr>
      <w:r>
        <w:rPr>
          <w:rStyle w:val="CommentReference"/>
        </w:rPr>
        <w:annotationRef/>
      </w:r>
      <w:r>
        <w:t>10</w:t>
      </w:r>
    </w:p>
  </w:comment>
  <w:comment w:id="7" w:author="Author" w:initials="A">
    <w:p w14:paraId="041B953E" w14:textId="7852CA10" w:rsidR="002D5DDE" w:rsidRDefault="002D5DDE">
      <w:pPr>
        <w:pStyle w:val="CommentText"/>
      </w:pPr>
      <w:r>
        <w:rPr>
          <w:rStyle w:val="CommentReference"/>
        </w:rPr>
        <w:annotationRef/>
      </w:r>
      <w:r>
        <w:t>10</w:t>
      </w:r>
    </w:p>
  </w:comment>
  <w:comment w:id="8" w:author="Author" w:initials="A">
    <w:p w14:paraId="07F4874E" w14:textId="1309803A" w:rsidR="002D5DDE" w:rsidRDefault="002D5DDE">
      <w:pPr>
        <w:pStyle w:val="CommentText"/>
      </w:pPr>
      <w:r>
        <w:rPr>
          <w:rStyle w:val="CommentReference"/>
        </w:rPr>
        <w:annotationRef/>
      </w:r>
      <w:r>
        <w:t>10</w:t>
      </w:r>
    </w:p>
  </w:comment>
  <w:comment w:id="9" w:author="Author" w:initials="A">
    <w:p w14:paraId="75469B4D" w14:textId="541E3165" w:rsidR="002D5DDE" w:rsidRDefault="002D5DDE">
      <w:pPr>
        <w:pStyle w:val="CommentText"/>
      </w:pPr>
      <w:r>
        <w:rPr>
          <w:rStyle w:val="CommentReference"/>
        </w:rPr>
        <w:annotationRef/>
      </w:r>
      <w:r>
        <w:t>6</w:t>
      </w:r>
    </w:p>
    <w:p w14:paraId="724721D3" w14:textId="7F5EFF89" w:rsidR="002D5DDE" w:rsidRDefault="002D5DDE">
      <w:pPr>
        <w:pStyle w:val="CommentText"/>
      </w:pPr>
      <w:r>
        <w:t>-4: should talk about the causal relationship.</w:t>
      </w:r>
    </w:p>
  </w:comment>
  <w:comment w:id="10" w:author="Author" w:initials="A">
    <w:p w14:paraId="55421017" w14:textId="77777777" w:rsidR="002D5DDE" w:rsidRDefault="002D5DDE">
      <w:pPr>
        <w:pStyle w:val="CommentText"/>
      </w:pPr>
      <w:r>
        <w:rPr>
          <w:rStyle w:val="CommentReference"/>
        </w:rPr>
        <w:annotationRef/>
      </w:r>
      <w:r>
        <w:t>4</w:t>
      </w:r>
    </w:p>
    <w:p w14:paraId="2559CE7A" w14:textId="24DCBFA0" w:rsidR="002D5DDE" w:rsidRDefault="002D5DDE">
      <w:pPr>
        <w:pStyle w:val="CommentText"/>
      </w:pPr>
      <w:r>
        <w:t xml:space="preserve">-6, you should discussed sex and age separately. </w:t>
      </w:r>
    </w:p>
  </w:comment>
  <w:comment w:id="11" w:author="Author" w:initials="A">
    <w:p w14:paraId="5898A627" w14:textId="56EAD906" w:rsidR="002D5DDE" w:rsidRDefault="002D5DDE">
      <w:pPr>
        <w:pStyle w:val="CommentText"/>
      </w:pPr>
      <w:r>
        <w:rPr>
          <w:rStyle w:val="CommentReference"/>
        </w:rPr>
        <w:annotationRef/>
      </w:r>
      <w:r>
        <w:t>10</w:t>
      </w:r>
    </w:p>
  </w:comment>
  <w:comment w:id="12" w:author="Author" w:initials="A">
    <w:p w14:paraId="52464705" w14:textId="77777777" w:rsidR="002D5DDE" w:rsidRDefault="002D5DDE">
      <w:pPr>
        <w:pStyle w:val="CommentText"/>
      </w:pPr>
      <w:r>
        <w:rPr>
          <w:rStyle w:val="CommentReference"/>
        </w:rPr>
        <w:annotationRef/>
      </w:r>
      <w:r>
        <w:t>5</w:t>
      </w:r>
    </w:p>
    <w:p w14:paraId="00D5361D" w14:textId="7DC131BB" w:rsidR="002D5DDE" w:rsidRDefault="002D5DDE">
      <w:pPr>
        <w:pStyle w:val="CommentText"/>
      </w:pPr>
      <w:r>
        <w:t xml:space="preserve">-5, you </w:t>
      </w:r>
      <w:r w:rsidR="001B0E48">
        <w:t>should</w:t>
      </w:r>
      <w:r>
        <w:t xml:space="preserve"> consider this question from the point that it’s a randomized study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6AFA" w14:textId="77777777" w:rsidR="002D5DDE" w:rsidRDefault="002D5DDE">
      <w:r>
        <w:separator/>
      </w:r>
    </w:p>
  </w:endnote>
  <w:endnote w:type="continuationSeparator" w:id="0">
    <w:p w14:paraId="31ABB8F5" w14:textId="77777777" w:rsidR="002D5DDE" w:rsidRDefault="002D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74C3" w14:textId="77777777" w:rsidR="002D5DDE" w:rsidRDefault="002D5DDE">
      <w:r>
        <w:separator/>
      </w:r>
    </w:p>
  </w:footnote>
  <w:footnote w:type="continuationSeparator" w:id="0">
    <w:p w14:paraId="0F542BF1" w14:textId="77777777" w:rsidR="002D5DDE" w:rsidRDefault="002D5DDE">
      <w:r>
        <w:continuationSeparator/>
      </w:r>
    </w:p>
  </w:footnote>
  <w:footnote w:id="1">
    <w:p w14:paraId="2CDC5BE0" w14:textId="2BE1904A" w:rsidR="002D5DDE" w:rsidRDefault="002D5DDE">
      <w:pPr>
        <w:pStyle w:val="FootnoteText"/>
      </w:pPr>
      <w:r>
        <w:rPr>
          <w:rStyle w:val="FootnoteReference"/>
        </w:rPr>
        <w:footnoteRef/>
      </w:r>
      <w:r>
        <w:t xml:space="preserve"> L</w:t>
      </w:r>
      <w:r w:rsidRPr="00F05695">
        <w:t>argest observed analysis time is censored, mean is underestimated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2BED" w14:textId="77777777" w:rsidR="002D5DDE" w:rsidRDefault="002D5DDE" w:rsidP="002F0282">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B0E4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B0E48">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72EC"/>
    <w:rsid w:val="0001345D"/>
    <w:rsid w:val="00021A79"/>
    <w:rsid w:val="000263C2"/>
    <w:rsid w:val="0004432C"/>
    <w:rsid w:val="000529D1"/>
    <w:rsid w:val="00054A42"/>
    <w:rsid w:val="00060C13"/>
    <w:rsid w:val="00061C6B"/>
    <w:rsid w:val="0006333F"/>
    <w:rsid w:val="00080005"/>
    <w:rsid w:val="000817A7"/>
    <w:rsid w:val="000A035B"/>
    <w:rsid w:val="000A3E09"/>
    <w:rsid w:val="000A6C67"/>
    <w:rsid w:val="000B6385"/>
    <w:rsid w:val="000D09B4"/>
    <w:rsid w:val="000F52B6"/>
    <w:rsid w:val="0010428A"/>
    <w:rsid w:val="00115B08"/>
    <w:rsid w:val="001247C9"/>
    <w:rsid w:val="00125DD5"/>
    <w:rsid w:val="001275F8"/>
    <w:rsid w:val="00132AEC"/>
    <w:rsid w:val="00132BA1"/>
    <w:rsid w:val="00140EC9"/>
    <w:rsid w:val="00160820"/>
    <w:rsid w:val="001647FB"/>
    <w:rsid w:val="00184991"/>
    <w:rsid w:val="00195B2D"/>
    <w:rsid w:val="001B0E48"/>
    <w:rsid w:val="001D2DC2"/>
    <w:rsid w:val="001E36FF"/>
    <w:rsid w:val="001E5158"/>
    <w:rsid w:val="001E79FA"/>
    <w:rsid w:val="001F053D"/>
    <w:rsid w:val="001F135D"/>
    <w:rsid w:val="001F1AA4"/>
    <w:rsid w:val="001F7C3E"/>
    <w:rsid w:val="00202909"/>
    <w:rsid w:val="002129A8"/>
    <w:rsid w:val="00214E39"/>
    <w:rsid w:val="0021517E"/>
    <w:rsid w:val="002213A5"/>
    <w:rsid w:val="00225E67"/>
    <w:rsid w:val="00235BD7"/>
    <w:rsid w:val="002365E3"/>
    <w:rsid w:val="0024368C"/>
    <w:rsid w:val="00260A24"/>
    <w:rsid w:val="00261CFB"/>
    <w:rsid w:val="002777EC"/>
    <w:rsid w:val="00292A09"/>
    <w:rsid w:val="002B2A44"/>
    <w:rsid w:val="002C00DA"/>
    <w:rsid w:val="002C2A4A"/>
    <w:rsid w:val="002C51A3"/>
    <w:rsid w:val="002D1F82"/>
    <w:rsid w:val="002D26E3"/>
    <w:rsid w:val="002D5B86"/>
    <w:rsid w:val="002D5DDE"/>
    <w:rsid w:val="002E1109"/>
    <w:rsid w:val="002F0282"/>
    <w:rsid w:val="00310603"/>
    <w:rsid w:val="0031124E"/>
    <w:rsid w:val="00315640"/>
    <w:rsid w:val="00324D74"/>
    <w:rsid w:val="003471E3"/>
    <w:rsid w:val="00353B06"/>
    <w:rsid w:val="0036127B"/>
    <w:rsid w:val="00382BFF"/>
    <w:rsid w:val="00385CD1"/>
    <w:rsid w:val="003A6D85"/>
    <w:rsid w:val="003C0FBE"/>
    <w:rsid w:val="003D7C8C"/>
    <w:rsid w:val="003F3001"/>
    <w:rsid w:val="003F380E"/>
    <w:rsid w:val="00410986"/>
    <w:rsid w:val="00410B89"/>
    <w:rsid w:val="004133B4"/>
    <w:rsid w:val="00415759"/>
    <w:rsid w:val="0042294F"/>
    <w:rsid w:val="00422D91"/>
    <w:rsid w:val="00442667"/>
    <w:rsid w:val="00443606"/>
    <w:rsid w:val="004514C0"/>
    <w:rsid w:val="00452963"/>
    <w:rsid w:val="004664FD"/>
    <w:rsid w:val="00474EF6"/>
    <w:rsid w:val="004751ED"/>
    <w:rsid w:val="004C3F3F"/>
    <w:rsid w:val="004D1289"/>
    <w:rsid w:val="004D1292"/>
    <w:rsid w:val="004D7832"/>
    <w:rsid w:val="004E06E1"/>
    <w:rsid w:val="004E2850"/>
    <w:rsid w:val="00501EC4"/>
    <w:rsid w:val="0050703D"/>
    <w:rsid w:val="00510B41"/>
    <w:rsid w:val="00511C56"/>
    <w:rsid w:val="00523AA4"/>
    <w:rsid w:val="005333B9"/>
    <w:rsid w:val="005453B6"/>
    <w:rsid w:val="0056442F"/>
    <w:rsid w:val="00567523"/>
    <w:rsid w:val="00582026"/>
    <w:rsid w:val="00586C10"/>
    <w:rsid w:val="005A094B"/>
    <w:rsid w:val="005B14E3"/>
    <w:rsid w:val="005C35DF"/>
    <w:rsid w:val="005C5726"/>
    <w:rsid w:val="005D7E06"/>
    <w:rsid w:val="005E10EC"/>
    <w:rsid w:val="005E206D"/>
    <w:rsid w:val="005E415C"/>
    <w:rsid w:val="005E5BD2"/>
    <w:rsid w:val="006138F9"/>
    <w:rsid w:val="006152BE"/>
    <w:rsid w:val="0062265F"/>
    <w:rsid w:val="006268D1"/>
    <w:rsid w:val="006336A9"/>
    <w:rsid w:val="00634D47"/>
    <w:rsid w:val="0063762C"/>
    <w:rsid w:val="00646CF7"/>
    <w:rsid w:val="006508C5"/>
    <w:rsid w:val="006529A7"/>
    <w:rsid w:val="00654208"/>
    <w:rsid w:val="00673A26"/>
    <w:rsid w:val="00676B73"/>
    <w:rsid w:val="00680D00"/>
    <w:rsid w:val="00686212"/>
    <w:rsid w:val="00693DD6"/>
    <w:rsid w:val="006A5F1B"/>
    <w:rsid w:val="006A5F43"/>
    <w:rsid w:val="006B1E11"/>
    <w:rsid w:val="006C49EE"/>
    <w:rsid w:val="006E09CE"/>
    <w:rsid w:val="006E16C5"/>
    <w:rsid w:val="006E5205"/>
    <w:rsid w:val="0070001A"/>
    <w:rsid w:val="00705ECB"/>
    <w:rsid w:val="00725B2C"/>
    <w:rsid w:val="007356DE"/>
    <w:rsid w:val="007366CC"/>
    <w:rsid w:val="00741AE1"/>
    <w:rsid w:val="007506C5"/>
    <w:rsid w:val="00751474"/>
    <w:rsid w:val="007518FF"/>
    <w:rsid w:val="00762DE6"/>
    <w:rsid w:val="00767D4A"/>
    <w:rsid w:val="00785A87"/>
    <w:rsid w:val="007919D2"/>
    <w:rsid w:val="00797792"/>
    <w:rsid w:val="007A0F6A"/>
    <w:rsid w:val="007B1360"/>
    <w:rsid w:val="007B4E60"/>
    <w:rsid w:val="007D3DCB"/>
    <w:rsid w:val="007D794A"/>
    <w:rsid w:val="007E57AC"/>
    <w:rsid w:val="008039FF"/>
    <w:rsid w:val="008320D3"/>
    <w:rsid w:val="00836540"/>
    <w:rsid w:val="008445A8"/>
    <w:rsid w:val="0085519B"/>
    <w:rsid w:val="008756CC"/>
    <w:rsid w:val="0087636D"/>
    <w:rsid w:val="008A45D9"/>
    <w:rsid w:val="008B246D"/>
    <w:rsid w:val="008B53CA"/>
    <w:rsid w:val="008E35C8"/>
    <w:rsid w:val="008F60A0"/>
    <w:rsid w:val="008F73A3"/>
    <w:rsid w:val="00902F38"/>
    <w:rsid w:val="00905BC9"/>
    <w:rsid w:val="00905E82"/>
    <w:rsid w:val="0091637F"/>
    <w:rsid w:val="009172D2"/>
    <w:rsid w:val="00927CF6"/>
    <w:rsid w:val="0094247D"/>
    <w:rsid w:val="00942672"/>
    <w:rsid w:val="0094708F"/>
    <w:rsid w:val="00952A5D"/>
    <w:rsid w:val="0096616C"/>
    <w:rsid w:val="0099488A"/>
    <w:rsid w:val="009B2370"/>
    <w:rsid w:val="009B4659"/>
    <w:rsid w:val="009C542B"/>
    <w:rsid w:val="009D2757"/>
    <w:rsid w:val="009D5804"/>
    <w:rsid w:val="009E0324"/>
    <w:rsid w:val="009E3403"/>
    <w:rsid w:val="009F413F"/>
    <w:rsid w:val="009F6BDD"/>
    <w:rsid w:val="00A0233D"/>
    <w:rsid w:val="00A05CD5"/>
    <w:rsid w:val="00A31D8C"/>
    <w:rsid w:val="00A4205F"/>
    <w:rsid w:val="00A44034"/>
    <w:rsid w:val="00A459C8"/>
    <w:rsid w:val="00A513CF"/>
    <w:rsid w:val="00A620A3"/>
    <w:rsid w:val="00A81A75"/>
    <w:rsid w:val="00A86F93"/>
    <w:rsid w:val="00AA54BE"/>
    <w:rsid w:val="00AA58DB"/>
    <w:rsid w:val="00AD29C0"/>
    <w:rsid w:val="00AE6D68"/>
    <w:rsid w:val="00AF3E12"/>
    <w:rsid w:val="00AF5A1A"/>
    <w:rsid w:val="00B04F23"/>
    <w:rsid w:val="00B12B84"/>
    <w:rsid w:val="00B15F79"/>
    <w:rsid w:val="00B17CB5"/>
    <w:rsid w:val="00B212A5"/>
    <w:rsid w:val="00B42150"/>
    <w:rsid w:val="00B43F52"/>
    <w:rsid w:val="00B457A7"/>
    <w:rsid w:val="00B4705C"/>
    <w:rsid w:val="00B5377C"/>
    <w:rsid w:val="00B70375"/>
    <w:rsid w:val="00B77108"/>
    <w:rsid w:val="00B814FA"/>
    <w:rsid w:val="00BA1862"/>
    <w:rsid w:val="00BA1992"/>
    <w:rsid w:val="00BA6333"/>
    <w:rsid w:val="00BC14D5"/>
    <w:rsid w:val="00BF5CB8"/>
    <w:rsid w:val="00C00601"/>
    <w:rsid w:val="00C1322F"/>
    <w:rsid w:val="00C15CDE"/>
    <w:rsid w:val="00C34EBC"/>
    <w:rsid w:val="00C405BF"/>
    <w:rsid w:val="00C55091"/>
    <w:rsid w:val="00C61698"/>
    <w:rsid w:val="00C642DD"/>
    <w:rsid w:val="00C64E34"/>
    <w:rsid w:val="00C653B3"/>
    <w:rsid w:val="00C74FEC"/>
    <w:rsid w:val="00C824AE"/>
    <w:rsid w:val="00C8626E"/>
    <w:rsid w:val="00C93A29"/>
    <w:rsid w:val="00CC37A7"/>
    <w:rsid w:val="00CD2F88"/>
    <w:rsid w:val="00CD5115"/>
    <w:rsid w:val="00D16C04"/>
    <w:rsid w:val="00D556BD"/>
    <w:rsid w:val="00D72BD7"/>
    <w:rsid w:val="00D8302F"/>
    <w:rsid w:val="00DC01FF"/>
    <w:rsid w:val="00DD6B80"/>
    <w:rsid w:val="00DE0C1B"/>
    <w:rsid w:val="00DE3817"/>
    <w:rsid w:val="00DE6331"/>
    <w:rsid w:val="00E0035B"/>
    <w:rsid w:val="00E01E38"/>
    <w:rsid w:val="00E03960"/>
    <w:rsid w:val="00E044F1"/>
    <w:rsid w:val="00E17F10"/>
    <w:rsid w:val="00E20141"/>
    <w:rsid w:val="00E541F6"/>
    <w:rsid w:val="00E56588"/>
    <w:rsid w:val="00E642DA"/>
    <w:rsid w:val="00E741C7"/>
    <w:rsid w:val="00E76566"/>
    <w:rsid w:val="00E81610"/>
    <w:rsid w:val="00E91856"/>
    <w:rsid w:val="00E93AC4"/>
    <w:rsid w:val="00EC11AD"/>
    <w:rsid w:val="00ED47B6"/>
    <w:rsid w:val="00EE0BCE"/>
    <w:rsid w:val="00EE0C34"/>
    <w:rsid w:val="00F05695"/>
    <w:rsid w:val="00F15455"/>
    <w:rsid w:val="00F15D49"/>
    <w:rsid w:val="00F5078F"/>
    <w:rsid w:val="00F507B9"/>
    <w:rsid w:val="00F538AE"/>
    <w:rsid w:val="00F6647F"/>
    <w:rsid w:val="00F705B1"/>
    <w:rsid w:val="00F72365"/>
    <w:rsid w:val="00F75FA3"/>
    <w:rsid w:val="00F76124"/>
    <w:rsid w:val="00F95BDD"/>
    <w:rsid w:val="00FA2C0B"/>
    <w:rsid w:val="00FB663C"/>
    <w:rsid w:val="00FC30D4"/>
    <w:rsid w:val="00FC33E3"/>
    <w:rsid w:val="00FD3FF2"/>
    <w:rsid w:val="00FE67F0"/>
    <w:rsid w:val="00FE7942"/>
    <w:rsid w:val="00FF64C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978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7F10"/>
    <w:rPr>
      <w:color w:val="808080"/>
    </w:rPr>
  </w:style>
  <w:style w:type="paragraph" w:styleId="BalloonText">
    <w:name w:val="Balloon Text"/>
    <w:basedOn w:val="Normal"/>
    <w:link w:val="BalloonTextChar"/>
    <w:rsid w:val="00E17F10"/>
    <w:rPr>
      <w:rFonts w:ascii="Lucida Grande" w:hAnsi="Lucida Grande" w:cs="Lucida Grande"/>
      <w:sz w:val="18"/>
      <w:szCs w:val="18"/>
    </w:rPr>
  </w:style>
  <w:style w:type="character" w:customStyle="1" w:styleId="BalloonTextChar">
    <w:name w:val="Balloon Text Char"/>
    <w:basedOn w:val="DefaultParagraphFont"/>
    <w:link w:val="BalloonText"/>
    <w:rsid w:val="00E17F10"/>
    <w:rPr>
      <w:rFonts w:ascii="Lucida Grande" w:hAnsi="Lucida Grande" w:cs="Lucida Grande"/>
      <w:sz w:val="18"/>
      <w:szCs w:val="18"/>
    </w:rPr>
  </w:style>
  <w:style w:type="table" w:styleId="TableClassic1">
    <w:name w:val="Table Classic 1"/>
    <w:basedOn w:val="TableNormal"/>
    <w:rsid w:val="006A5F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95BDD"/>
    <w:pPr>
      <w:ind w:left="720"/>
      <w:contextualSpacing/>
    </w:pPr>
  </w:style>
  <w:style w:type="paragraph" w:styleId="FootnoteText">
    <w:name w:val="footnote text"/>
    <w:basedOn w:val="Normal"/>
    <w:link w:val="FootnoteTextChar"/>
    <w:rsid w:val="00F05695"/>
    <w:rPr>
      <w:sz w:val="24"/>
      <w:szCs w:val="24"/>
    </w:rPr>
  </w:style>
  <w:style w:type="character" w:customStyle="1" w:styleId="FootnoteTextChar">
    <w:name w:val="Footnote Text Char"/>
    <w:basedOn w:val="DefaultParagraphFont"/>
    <w:link w:val="FootnoteText"/>
    <w:rsid w:val="00F05695"/>
    <w:rPr>
      <w:sz w:val="24"/>
      <w:szCs w:val="24"/>
    </w:rPr>
  </w:style>
  <w:style w:type="character" w:styleId="FootnoteReference">
    <w:name w:val="footnote reference"/>
    <w:basedOn w:val="DefaultParagraphFont"/>
    <w:rsid w:val="00F05695"/>
    <w:rPr>
      <w:vertAlign w:val="superscript"/>
    </w:rPr>
  </w:style>
  <w:style w:type="character" w:styleId="CommentReference">
    <w:name w:val="annotation reference"/>
    <w:basedOn w:val="DefaultParagraphFont"/>
    <w:rsid w:val="002D26E3"/>
    <w:rPr>
      <w:sz w:val="18"/>
      <w:szCs w:val="18"/>
    </w:rPr>
  </w:style>
  <w:style w:type="paragraph" w:styleId="CommentText">
    <w:name w:val="annotation text"/>
    <w:basedOn w:val="Normal"/>
    <w:link w:val="CommentTextChar"/>
    <w:rsid w:val="002D26E3"/>
    <w:rPr>
      <w:sz w:val="24"/>
      <w:szCs w:val="24"/>
    </w:rPr>
  </w:style>
  <w:style w:type="character" w:customStyle="1" w:styleId="CommentTextChar">
    <w:name w:val="Comment Text Char"/>
    <w:basedOn w:val="DefaultParagraphFont"/>
    <w:link w:val="CommentText"/>
    <w:rsid w:val="002D26E3"/>
    <w:rPr>
      <w:sz w:val="24"/>
      <w:szCs w:val="24"/>
    </w:rPr>
  </w:style>
  <w:style w:type="paragraph" w:styleId="CommentSubject">
    <w:name w:val="annotation subject"/>
    <w:basedOn w:val="CommentText"/>
    <w:next w:val="CommentText"/>
    <w:link w:val="CommentSubjectChar"/>
    <w:rsid w:val="002D26E3"/>
    <w:rPr>
      <w:b/>
      <w:bCs/>
      <w:sz w:val="20"/>
      <w:szCs w:val="20"/>
    </w:rPr>
  </w:style>
  <w:style w:type="character" w:customStyle="1" w:styleId="CommentSubjectChar">
    <w:name w:val="Comment Subject Char"/>
    <w:basedOn w:val="CommentTextChar"/>
    <w:link w:val="CommentSubject"/>
    <w:rsid w:val="002D26E3"/>
    <w:rPr>
      <w:b/>
      <w:bCs/>
      <w:sz w:val="24"/>
      <w:szCs w:val="24"/>
    </w:rPr>
  </w:style>
  <w:style w:type="paragraph" w:styleId="NormalWeb">
    <w:name w:val="Normal (Web)"/>
    <w:basedOn w:val="Normal"/>
    <w:uiPriority w:val="99"/>
    <w:unhideWhenUsed/>
    <w:rsid w:val="002D26E3"/>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7F10"/>
    <w:rPr>
      <w:color w:val="808080"/>
    </w:rPr>
  </w:style>
  <w:style w:type="paragraph" w:styleId="BalloonText">
    <w:name w:val="Balloon Text"/>
    <w:basedOn w:val="Normal"/>
    <w:link w:val="BalloonTextChar"/>
    <w:rsid w:val="00E17F10"/>
    <w:rPr>
      <w:rFonts w:ascii="Lucida Grande" w:hAnsi="Lucida Grande" w:cs="Lucida Grande"/>
      <w:sz w:val="18"/>
      <w:szCs w:val="18"/>
    </w:rPr>
  </w:style>
  <w:style w:type="character" w:customStyle="1" w:styleId="BalloonTextChar">
    <w:name w:val="Balloon Text Char"/>
    <w:basedOn w:val="DefaultParagraphFont"/>
    <w:link w:val="BalloonText"/>
    <w:rsid w:val="00E17F10"/>
    <w:rPr>
      <w:rFonts w:ascii="Lucida Grande" w:hAnsi="Lucida Grande" w:cs="Lucida Grande"/>
      <w:sz w:val="18"/>
      <w:szCs w:val="18"/>
    </w:rPr>
  </w:style>
  <w:style w:type="table" w:styleId="TableClassic1">
    <w:name w:val="Table Classic 1"/>
    <w:basedOn w:val="TableNormal"/>
    <w:rsid w:val="006A5F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95BDD"/>
    <w:pPr>
      <w:ind w:left="720"/>
      <w:contextualSpacing/>
    </w:pPr>
  </w:style>
  <w:style w:type="paragraph" w:styleId="FootnoteText">
    <w:name w:val="footnote text"/>
    <w:basedOn w:val="Normal"/>
    <w:link w:val="FootnoteTextChar"/>
    <w:rsid w:val="00F05695"/>
    <w:rPr>
      <w:sz w:val="24"/>
      <w:szCs w:val="24"/>
    </w:rPr>
  </w:style>
  <w:style w:type="character" w:customStyle="1" w:styleId="FootnoteTextChar">
    <w:name w:val="Footnote Text Char"/>
    <w:basedOn w:val="DefaultParagraphFont"/>
    <w:link w:val="FootnoteText"/>
    <w:rsid w:val="00F05695"/>
    <w:rPr>
      <w:sz w:val="24"/>
      <w:szCs w:val="24"/>
    </w:rPr>
  </w:style>
  <w:style w:type="character" w:styleId="FootnoteReference">
    <w:name w:val="footnote reference"/>
    <w:basedOn w:val="DefaultParagraphFont"/>
    <w:rsid w:val="00F05695"/>
    <w:rPr>
      <w:vertAlign w:val="superscript"/>
    </w:rPr>
  </w:style>
  <w:style w:type="character" w:styleId="CommentReference">
    <w:name w:val="annotation reference"/>
    <w:basedOn w:val="DefaultParagraphFont"/>
    <w:rsid w:val="002D26E3"/>
    <w:rPr>
      <w:sz w:val="18"/>
      <w:szCs w:val="18"/>
    </w:rPr>
  </w:style>
  <w:style w:type="paragraph" w:styleId="CommentText">
    <w:name w:val="annotation text"/>
    <w:basedOn w:val="Normal"/>
    <w:link w:val="CommentTextChar"/>
    <w:rsid w:val="002D26E3"/>
    <w:rPr>
      <w:sz w:val="24"/>
      <w:szCs w:val="24"/>
    </w:rPr>
  </w:style>
  <w:style w:type="character" w:customStyle="1" w:styleId="CommentTextChar">
    <w:name w:val="Comment Text Char"/>
    <w:basedOn w:val="DefaultParagraphFont"/>
    <w:link w:val="CommentText"/>
    <w:rsid w:val="002D26E3"/>
    <w:rPr>
      <w:sz w:val="24"/>
      <w:szCs w:val="24"/>
    </w:rPr>
  </w:style>
  <w:style w:type="paragraph" w:styleId="CommentSubject">
    <w:name w:val="annotation subject"/>
    <w:basedOn w:val="CommentText"/>
    <w:next w:val="CommentText"/>
    <w:link w:val="CommentSubjectChar"/>
    <w:rsid w:val="002D26E3"/>
    <w:rPr>
      <w:b/>
      <w:bCs/>
      <w:sz w:val="20"/>
      <w:szCs w:val="20"/>
    </w:rPr>
  </w:style>
  <w:style w:type="character" w:customStyle="1" w:styleId="CommentSubjectChar">
    <w:name w:val="Comment Subject Char"/>
    <w:basedOn w:val="CommentTextChar"/>
    <w:link w:val="CommentSubject"/>
    <w:rsid w:val="002D26E3"/>
    <w:rPr>
      <w:b/>
      <w:bCs/>
      <w:sz w:val="24"/>
      <w:szCs w:val="24"/>
    </w:rPr>
  </w:style>
  <w:style w:type="paragraph" w:styleId="NormalWeb">
    <w:name w:val="Normal (Web)"/>
    <w:basedOn w:val="Normal"/>
    <w:uiPriority w:val="99"/>
    <w:unhideWhenUsed/>
    <w:rsid w:val="002D26E3"/>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080010343">
      <w:bodyDiv w:val="1"/>
      <w:marLeft w:val="0"/>
      <w:marRight w:val="0"/>
      <w:marTop w:val="0"/>
      <w:marBottom w:val="0"/>
      <w:divBdr>
        <w:top w:val="none" w:sz="0" w:space="0" w:color="auto"/>
        <w:left w:val="none" w:sz="0" w:space="0" w:color="auto"/>
        <w:bottom w:val="none" w:sz="0" w:space="0" w:color="auto"/>
        <w:right w:val="none" w:sz="0" w:space="0" w:color="auto"/>
      </w:divBdr>
      <w:divsChild>
        <w:div w:id="1921282656">
          <w:marLeft w:val="0"/>
          <w:marRight w:val="0"/>
          <w:marTop w:val="0"/>
          <w:marBottom w:val="0"/>
          <w:divBdr>
            <w:top w:val="none" w:sz="0" w:space="0" w:color="auto"/>
            <w:left w:val="none" w:sz="0" w:space="0" w:color="auto"/>
            <w:bottom w:val="none" w:sz="0" w:space="0" w:color="auto"/>
            <w:right w:val="none" w:sz="0" w:space="0" w:color="auto"/>
          </w:divBdr>
          <w:divsChild>
            <w:div w:id="832069955">
              <w:marLeft w:val="0"/>
              <w:marRight w:val="0"/>
              <w:marTop w:val="0"/>
              <w:marBottom w:val="0"/>
              <w:divBdr>
                <w:top w:val="none" w:sz="0" w:space="0" w:color="auto"/>
                <w:left w:val="none" w:sz="0" w:space="0" w:color="auto"/>
                <w:bottom w:val="none" w:sz="0" w:space="0" w:color="auto"/>
                <w:right w:val="none" w:sz="0" w:space="0" w:color="auto"/>
              </w:divBdr>
              <w:divsChild>
                <w:div w:id="19653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418D-3068-2D4D-B714-940E3B30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2413</Words>
  <Characters>13760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2015-02-03T02:09:00Z</dcterms:created>
  <dcterms:modified xsi:type="dcterms:W3CDTF">2015-02-23T06:38:00Z</dcterms:modified>
</cp:coreProperties>
</file>