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BB4D6"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3FB5289E"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3E41C0D"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6A5F1B">
        <w:rPr>
          <w:color w:val="000000"/>
          <w:sz w:val="22"/>
          <w:szCs w:val="22"/>
        </w:rPr>
        <w:t>Winter 2015</w:t>
      </w:r>
    </w:p>
    <w:p w14:paraId="0114F2B9" w14:textId="77777777" w:rsidR="00C93A29" w:rsidRPr="0036127B" w:rsidRDefault="00C93A29" w:rsidP="00C93A29">
      <w:pPr>
        <w:autoSpaceDE w:val="0"/>
        <w:autoSpaceDN w:val="0"/>
        <w:adjustRightInd w:val="0"/>
        <w:jc w:val="center"/>
        <w:rPr>
          <w:b/>
          <w:color w:val="000000"/>
          <w:sz w:val="22"/>
          <w:szCs w:val="22"/>
        </w:rPr>
      </w:pPr>
    </w:p>
    <w:p w14:paraId="1BB04813" w14:textId="77777777" w:rsidR="00C93A29" w:rsidRPr="0036127B" w:rsidRDefault="00F538AE" w:rsidP="00C93A29">
      <w:pPr>
        <w:autoSpaceDE w:val="0"/>
        <w:autoSpaceDN w:val="0"/>
        <w:adjustRightInd w:val="0"/>
        <w:jc w:val="center"/>
        <w:rPr>
          <w:b/>
          <w:color w:val="000000"/>
          <w:sz w:val="22"/>
          <w:szCs w:val="22"/>
        </w:rPr>
      </w:pPr>
      <w:commentRangeStart w:id="0"/>
      <w:r>
        <w:rPr>
          <w:b/>
          <w:color w:val="000000"/>
          <w:sz w:val="22"/>
          <w:szCs w:val="22"/>
        </w:rPr>
        <w:t>Homework #4</w:t>
      </w:r>
      <w:commentRangeEnd w:id="0"/>
      <w:r w:rsidR="009C1054">
        <w:rPr>
          <w:rStyle w:val="CommentReference"/>
        </w:rPr>
        <w:commentReference w:id="0"/>
      </w:r>
    </w:p>
    <w:p w14:paraId="54C9C277" w14:textId="77777777" w:rsidR="00C93A29" w:rsidRPr="0036127B" w:rsidRDefault="006A5F1B" w:rsidP="00C93A29">
      <w:pPr>
        <w:autoSpaceDE w:val="0"/>
        <w:autoSpaceDN w:val="0"/>
        <w:adjustRightInd w:val="0"/>
        <w:jc w:val="center"/>
        <w:rPr>
          <w:color w:val="000000"/>
          <w:sz w:val="22"/>
          <w:szCs w:val="22"/>
        </w:rPr>
      </w:pPr>
      <w:r>
        <w:rPr>
          <w:color w:val="000000"/>
          <w:sz w:val="22"/>
          <w:szCs w:val="22"/>
        </w:rPr>
        <w:t>February 2, 2015</w:t>
      </w:r>
    </w:p>
    <w:p w14:paraId="5B363219" w14:textId="77777777" w:rsidR="00C93A29" w:rsidRPr="0036127B" w:rsidRDefault="00C93A29" w:rsidP="00410B89">
      <w:pPr>
        <w:autoSpaceDE w:val="0"/>
        <w:autoSpaceDN w:val="0"/>
        <w:adjustRightInd w:val="0"/>
        <w:rPr>
          <w:b/>
          <w:color w:val="000000"/>
          <w:sz w:val="22"/>
          <w:szCs w:val="22"/>
        </w:rPr>
      </w:pPr>
    </w:p>
    <w:p w14:paraId="492CC997"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6A5F1B">
        <w:rPr>
          <w:color w:val="000000"/>
          <w:sz w:val="22"/>
          <w:szCs w:val="22"/>
        </w:rPr>
        <w:t>February 9</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563E7DE5" w14:textId="77777777" w:rsidR="002F0282" w:rsidRDefault="002F0282" w:rsidP="002F0282">
      <w:pPr>
        <w:autoSpaceDE w:val="0"/>
        <w:autoSpaceDN w:val="0"/>
        <w:adjustRightInd w:val="0"/>
        <w:rPr>
          <w:color w:val="000000"/>
          <w:sz w:val="22"/>
          <w:szCs w:val="22"/>
        </w:rPr>
      </w:pPr>
    </w:p>
    <w:p w14:paraId="3670A471"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1A614C42" w14:textId="77777777" w:rsidR="001D2DC2" w:rsidRDefault="001D2DC2" w:rsidP="0036127B">
      <w:pPr>
        <w:autoSpaceDE w:val="0"/>
        <w:autoSpaceDN w:val="0"/>
        <w:adjustRightInd w:val="0"/>
        <w:rPr>
          <w:color w:val="000000"/>
          <w:sz w:val="22"/>
          <w:szCs w:val="22"/>
        </w:rPr>
      </w:pPr>
    </w:p>
    <w:p w14:paraId="21B74536"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0EE6FC2A"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w:t>
      </w:r>
      <w:bookmarkStart w:id="1" w:name="_GoBack"/>
      <w:bookmarkEnd w:id="1"/>
      <w:r>
        <w:rPr>
          <w:b/>
          <w:bCs/>
          <w:i/>
          <w:iCs/>
          <w:color w:val="000000"/>
          <w:sz w:val="22"/>
          <w:szCs w:val="22"/>
        </w:rPr>
        <w:t>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4E649F0A"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05361CED" w14:textId="77777777" w:rsidR="00132BA1" w:rsidRPr="002F0282" w:rsidRDefault="00132BA1" w:rsidP="00132BA1">
      <w:pPr>
        <w:autoSpaceDE w:val="0"/>
        <w:autoSpaceDN w:val="0"/>
        <w:adjustRightInd w:val="0"/>
        <w:ind w:left="1080"/>
        <w:rPr>
          <w:b/>
          <w:bCs/>
          <w:i/>
          <w:iCs/>
          <w:color w:val="000000"/>
          <w:sz w:val="22"/>
          <w:szCs w:val="22"/>
        </w:rPr>
      </w:pPr>
    </w:p>
    <w:p w14:paraId="08005EDB" w14:textId="77777777" w:rsidR="00261CFB" w:rsidRPr="009D5804" w:rsidRDefault="00C00601" w:rsidP="004D7832">
      <w:pPr>
        <w:autoSpaceDE w:val="0"/>
        <w:autoSpaceDN w:val="0"/>
        <w:adjustRightInd w:val="0"/>
        <w:rPr>
          <w:sz w:val="22"/>
          <w:szCs w:val="22"/>
        </w:rPr>
      </w:pPr>
      <w:r>
        <w:rPr>
          <w:color w:val="000000"/>
          <w:sz w:val="22"/>
          <w:szCs w:val="22"/>
        </w:rPr>
        <w:t xml:space="preserve">This homework </w:t>
      </w:r>
      <w:r w:rsidR="004D7832">
        <w:rPr>
          <w:color w:val="000000"/>
          <w:sz w:val="22"/>
          <w:szCs w:val="22"/>
        </w:rPr>
        <w:t>investigates associations between death from any cause and age, sex, and serum bilirubin in a population of patients with primary biliary cirrhosis who were enrolled in a randomized clinical trial (RCT) of D-</w:t>
      </w:r>
      <w:proofErr w:type="spellStart"/>
      <w:r w:rsidR="004D7832">
        <w:rPr>
          <w:color w:val="000000"/>
          <w:sz w:val="22"/>
          <w:szCs w:val="22"/>
        </w:rPr>
        <w:t>penicillamine</w:t>
      </w:r>
      <w:proofErr w:type="spellEnd"/>
      <w:r w:rsidR="004D7832">
        <w:rPr>
          <w:color w:val="000000"/>
          <w:sz w:val="22"/>
          <w:szCs w:val="22"/>
        </w:rPr>
        <w:t>.</w:t>
      </w:r>
      <w:r>
        <w:rPr>
          <w:color w:val="000000"/>
          <w:sz w:val="22"/>
          <w:szCs w:val="22"/>
        </w:rPr>
        <w:t xml:space="preserve"> </w:t>
      </w:r>
      <w:r w:rsidR="00132BA1" w:rsidRPr="009D5804">
        <w:rPr>
          <w:sz w:val="22"/>
          <w:szCs w:val="22"/>
        </w:rPr>
        <w:t xml:space="preserve">The data can be found on the class web page (follow the link to Datasets) in the file labeled </w:t>
      </w:r>
      <w:r w:rsidR="004D7832">
        <w:rPr>
          <w:sz w:val="22"/>
          <w:szCs w:val="22"/>
        </w:rPr>
        <w:t>liver</w:t>
      </w:r>
      <w:r w:rsidR="00132BA1" w:rsidRPr="009D5804">
        <w:rPr>
          <w:sz w:val="22"/>
          <w:szCs w:val="22"/>
        </w:rPr>
        <w:t>.txt. Docu</w:t>
      </w:r>
      <w:r w:rsidR="00FB663C" w:rsidRPr="009D5804">
        <w:rPr>
          <w:sz w:val="22"/>
          <w:szCs w:val="22"/>
        </w:rPr>
        <w:t xml:space="preserve">mentation is in the file </w:t>
      </w:r>
      <w:r w:rsidR="004D7832">
        <w:rPr>
          <w:sz w:val="22"/>
          <w:szCs w:val="22"/>
        </w:rPr>
        <w:t>liver.doc</w:t>
      </w:r>
      <w:r w:rsidR="00FB663C" w:rsidRPr="009D5804">
        <w:rPr>
          <w:sz w:val="22"/>
          <w:szCs w:val="22"/>
        </w:rPr>
        <w:t xml:space="preserve">. </w:t>
      </w:r>
    </w:p>
    <w:p w14:paraId="1143B83A" w14:textId="77777777" w:rsidR="00261CFB" w:rsidRPr="009D5804" w:rsidRDefault="00261CFB" w:rsidP="00261CFB">
      <w:pPr>
        <w:autoSpaceDE w:val="0"/>
        <w:autoSpaceDN w:val="0"/>
        <w:adjustRightInd w:val="0"/>
        <w:rPr>
          <w:sz w:val="22"/>
          <w:szCs w:val="22"/>
        </w:rPr>
      </w:pPr>
    </w:p>
    <w:p w14:paraId="6DFF332D" w14:textId="77777777" w:rsidR="004D7832" w:rsidRDefault="004D7832" w:rsidP="00F538AE">
      <w:pPr>
        <w:numPr>
          <w:ilvl w:val="0"/>
          <w:numId w:val="19"/>
        </w:numPr>
        <w:autoSpaceDE w:val="0"/>
        <w:autoSpaceDN w:val="0"/>
        <w:adjustRightInd w:val="0"/>
        <w:spacing w:after="120"/>
        <w:rPr>
          <w:sz w:val="22"/>
          <w:szCs w:val="22"/>
        </w:rPr>
      </w:pPr>
      <w:r>
        <w:rPr>
          <w:sz w:val="22"/>
          <w:szCs w:val="22"/>
        </w:rPr>
        <w:t>Provide suitable descriptive statistics pertinent to the scientific questions addressed in this homework.</w:t>
      </w:r>
    </w:p>
    <w:p w14:paraId="71ED7D62" w14:textId="7BADD5BD" w:rsidR="00CA2C12" w:rsidRPr="00224C18" w:rsidRDefault="00224C18" w:rsidP="00CA2C12">
      <w:pPr>
        <w:autoSpaceDE w:val="0"/>
        <w:autoSpaceDN w:val="0"/>
        <w:adjustRightInd w:val="0"/>
        <w:spacing w:after="120"/>
        <w:rPr>
          <w:sz w:val="22"/>
          <w:szCs w:val="22"/>
        </w:rPr>
      </w:pPr>
      <w:commentRangeStart w:id="2"/>
      <w:r>
        <w:rPr>
          <w:b/>
          <w:sz w:val="22"/>
          <w:szCs w:val="22"/>
        </w:rPr>
        <w:t>Methods</w:t>
      </w:r>
      <w:commentRangeEnd w:id="2"/>
      <w:r w:rsidR="000336DA">
        <w:rPr>
          <w:rStyle w:val="CommentReference"/>
        </w:rPr>
        <w:commentReference w:id="2"/>
      </w:r>
      <w:r>
        <w:rPr>
          <w:b/>
          <w:sz w:val="22"/>
          <w:szCs w:val="22"/>
        </w:rPr>
        <w:t>:</w:t>
      </w:r>
      <w:r>
        <w:rPr>
          <w:sz w:val="22"/>
          <w:szCs w:val="22"/>
        </w:rPr>
        <w:t xml:space="preserve"> Patients were enrolled at the Mayo Clinic for a randomized control trial of using D-</w:t>
      </w:r>
      <w:proofErr w:type="spellStart"/>
      <w:r>
        <w:rPr>
          <w:sz w:val="22"/>
          <w:szCs w:val="22"/>
        </w:rPr>
        <w:t>penicillamine</w:t>
      </w:r>
      <w:proofErr w:type="spellEnd"/>
      <w:r>
        <w:rPr>
          <w:sz w:val="22"/>
          <w:szCs w:val="22"/>
        </w:rPr>
        <w:t xml:space="preserve"> in treatment for primary biliary cirrhosis (PBC). Of the 418 subjects enrolled, 106 were no</w:t>
      </w:r>
      <w:r w:rsidR="00CE44AE">
        <w:rPr>
          <w:sz w:val="22"/>
          <w:szCs w:val="22"/>
        </w:rPr>
        <w:t xml:space="preserve">t assigned to either </w:t>
      </w:r>
      <w:r>
        <w:rPr>
          <w:sz w:val="22"/>
          <w:szCs w:val="22"/>
        </w:rPr>
        <w:t xml:space="preserve">treatment arm and were missing many data and have been excluded from all analyses. The 312 remaining subjects were </w:t>
      </w:r>
      <w:commentRangeStart w:id="3"/>
      <w:r>
        <w:rPr>
          <w:sz w:val="22"/>
          <w:szCs w:val="22"/>
        </w:rPr>
        <w:t xml:space="preserve">categorized based on serum bilirubin levels </w:t>
      </w:r>
      <w:commentRangeEnd w:id="3"/>
      <w:r w:rsidR="000336DA">
        <w:rPr>
          <w:rStyle w:val="CommentReference"/>
        </w:rPr>
        <w:commentReference w:id="3"/>
      </w:r>
      <w:r>
        <w:rPr>
          <w:sz w:val="22"/>
          <w:szCs w:val="22"/>
        </w:rPr>
        <w:t>(along a multiplicative scale, keeping the fold change in each group approximately constant). The levels were originally based on normal levels of 0.3 – 1.9 (as reported on nlm.nih.gov/</w:t>
      </w:r>
      <w:proofErr w:type="spellStart"/>
      <w:r>
        <w:rPr>
          <w:sz w:val="22"/>
          <w:szCs w:val="22"/>
        </w:rPr>
        <w:t>medlinePlus</w:t>
      </w:r>
      <w:proofErr w:type="spellEnd"/>
      <w:r>
        <w:rPr>
          <w:sz w:val="22"/>
          <w:szCs w:val="22"/>
        </w:rPr>
        <w:t>); low normal (</w:t>
      </w:r>
      <w:r w:rsidR="00175BF1">
        <w:rPr>
          <w:sz w:val="22"/>
          <w:szCs w:val="22"/>
        </w:rPr>
        <w:t>below</w:t>
      </w:r>
      <w:r>
        <w:rPr>
          <w:sz w:val="22"/>
          <w:szCs w:val="22"/>
        </w:rPr>
        <w:t xml:space="preserve"> 0.7 mg/</w:t>
      </w:r>
      <w:proofErr w:type="spellStart"/>
      <w:r>
        <w:rPr>
          <w:sz w:val="22"/>
          <w:szCs w:val="22"/>
        </w:rPr>
        <w:t>dL</w:t>
      </w:r>
      <w:proofErr w:type="spellEnd"/>
      <w:r>
        <w:rPr>
          <w:sz w:val="22"/>
          <w:szCs w:val="22"/>
        </w:rPr>
        <w:t>), high normal (0.8 – 1.9 mg/</w:t>
      </w:r>
      <w:proofErr w:type="spellStart"/>
      <w:r>
        <w:rPr>
          <w:sz w:val="22"/>
          <w:szCs w:val="22"/>
        </w:rPr>
        <w:t>dL</w:t>
      </w:r>
      <w:proofErr w:type="spellEnd"/>
      <w:r>
        <w:rPr>
          <w:sz w:val="22"/>
          <w:szCs w:val="22"/>
        </w:rPr>
        <w:t xml:space="preserve">), mild </w:t>
      </w:r>
      <w:proofErr w:type="spellStart"/>
      <w:r>
        <w:rPr>
          <w:sz w:val="22"/>
          <w:szCs w:val="22"/>
        </w:rPr>
        <w:t>hyperbilirubinemia</w:t>
      </w:r>
      <w:proofErr w:type="spellEnd"/>
      <w:r>
        <w:rPr>
          <w:sz w:val="22"/>
          <w:szCs w:val="22"/>
        </w:rPr>
        <w:t xml:space="preserve"> (2.0 – 4.6 mg/</w:t>
      </w:r>
      <w:proofErr w:type="spellStart"/>
      <w:r>
        <w:rPr>
          <w:sz w:val="22"/>
          <w:szCs w:val="22"/>
        </w:rPr>
        <w:t>dL</w:t>
      </w:r>
      <w:proofErr w:type="spellEnd"/>
      <w:r>
        <w:rPr>
          <w:sz w:val="22"/>
          <w:szCs w:val="22"/>
        </w:rPr>
        <w:t xml:space="preserve">), moderate </w:t>
      </w:r>
      <w:proofErr w:type="spellStart"/>
      <w:r>
        <w:rPr>
          <w:sz w:val="22"/>
          <w:szCs w:val="22"/>
        </w:rPr>
        <w:t>hyperbilirubinemia</w:t>
      </w:r>
      <w:proofErr w:type="spellEnd"/>
      <w:r>
        <w:rPr>
          <w:sz w:val="22"/>
          <w:szCs w:val="22"/>
        </w:rPr>
        <w:t xml:space="preserve"> (4.7 – 9.3 mg/</w:t>
      </w:r>
      <w:proofErr w:type="spellStart"/>
      <w:r>
        <w:rPr>
          <w:sz w:val="22"/>
          <w:szCs w:val="22"/>
        </w:rPr>
        <w:t>dL</w:t>
      </w:r>
      <w:proofErr w:type="spellEnd"/>
      <w:r>
        <w:rPr>
          <w:sz w:val="22"/>
          <w:szCs w:val="22"/>
        </w:rPr>
        <w:t xml:space="preserve">), and sever </w:t>
      </w:r>
      <w:proofErr w:type="spellStart"/>
      <w:r>
        <w:rPr>
          <w:sz w:val="22"/>
          <w:szCs w:val="22"/>
        </w:rPr>
        <w:t>hyperbilirubinemia</w:t>
      </w:r>
      <w:proofErr w:type="spellEnd"/>
      <w:r>
        <w:rPr>
          <w:sz w:val="22"/>
          <w:szCs w:val="22"/>
        </w:rPr>
        <w:t xml:space="preserve"> (greater than or equal to 9.3 mg/</w:t>
      </w:r>
      <w:proofErr w:type="spellStart"/>
      <w:r>
        <w:rPr>
          <w:sz w:val="22"/>
          <w:szCs w:val="22"/>
        </w:rPr>
        <w:t>dL</w:t>
      </w:r>
      <w:proofErr w:type="spellEnd"/>
      <w:r>
        <w:rPr>
          <w:sz w:val="22"/>
          <w:szCs w:val="22"/>
        </w:rPr>
        <w:t>).</w:t>
      </w:r>
      <w:r w:rsidR="005737CA">
        <w:rPr>
          <w:sz w:val="22"/>
          <w:szCs w:val="22"/>
        </w:rPr>
        <w:t xml:space="preserve"> Kaplan-</w:t>
      </w:r>
      <w:proofErr w:type="spellStart"/>
      <w:r w:rsidR="005737CA">
        <w:rPr>
          <w:sz w:val="22"/>
          <w:szCs w:val="22"/>
        </w:rPr>
        <w:t>meier</w:t>
      </w:r>
      <w:proofErr w:type="spellEnd"/>
      <w:r w:rsidR="005737CA">
        <w:rPr>
          <w:sz w:val="22"/>
          <w:szCs w:val="22"/>
        </w:rPr>
        <w:t xml:space="preserve"> curves were created for each stratum, and the number of days at the survival probability was 0.75 was calculated (25</w:t>
      </w:r>
      <w:r w:rsidR="005737CA" w:rsidRPr="005737CA">
        <w:rPr>
          <w:sz w:val="22"/>
          <w:szCs w:val="22"/>
          <w:vertAlign w:val="superscript"/>
        </w:rPr>
        <w:t>th</w:t>
      </w:r>
      <w:r w:rsidR="005737CA">
        <w:rPr>
          <w:sz w:val="22"/>
          <w:szCs w:val="22"/>
        </w:rPr>
        <w:t xml:space="preserve"> %</w:t>
      </w:r>
      <w:proofErr w:type="spellStart"/>
      <w:r w:rsidR="005737CA">
        <w:rPr>
          <w:sz w:val="22"/>
          <w:szCs w:val="22"/>
        </w:rPr>
        <w:t>ile</w:t>
      </w:r>
      <w:proofErr w:type="spellEnd"/>
      <w:r w:rsidR="005737CA">
        <w:rPr>
          <w:sz w:val="22"/>
          <w:szCs w:val="22"/>
        </w:rPr>
        <w:t xml:space="preserve"> survival).</w:t>
      </w:r>
    </w:p>
    <w:p w14:paraId="3EF01582" w14:textId="4CD112B4" w:rsidR="00CA2C12" w:rsidRPr="00CE44AE" w:rsidRDefault="000B335E" w:rsidP="00CA2C12">
      <w:pPr>
        <w:autoSpaceDE w:val="0"/>
        <w:autoSpaceDN w:val="0"/>
        <w:adjustRightInd w:val="0"/>
        <w:spacing w:after="120"/>
        <w:rPr>
          <w:sz w:val="22"/>
          <w:szCs w:val="22"/>
        </w:rPr>
      </w:pPr>
      <w:commentRangeStart w:id="4"/>
      <w:r>
        <w:rPr>
          <w:b/>
          <w:noProof/>
          <w:sz w:val="22"/>
          <w:szCs w:val="22"/>
        </w:rPr>
        <w:lastRenderedPageBreak/>
        <w:drawing>
          <wp:anchor distT="0" distB="0" distL="114300" distR="114300" simplePos="0" relativeHeight="251661312" behindDoc="0" locked="0" layoutInCell="1" allowOverlap="1" wp14:anchorId="61B6BB5F" wp14:editId="12880453">
            <wp:simplePos x="0" y="0"/>
            <wp:positionH relativeFrom="column">
              <wp:posOffset>371475</wp:posOffset>
            </wp:positionH>
            <wp:positionV relativeFrom="paragraph">
              <wp:posOffset>1922780</wp:posOffset>
            </wp:positionV>
            <wp:extent cx="5237480" cy="52374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KMCurves_completeSex.jpg"/>
                    <pic:cNvPicPr/>
                  </pic:nvPicPr>
                  <pic:blipFill>
                    <a:blip r:embed="rId9">
                      <a:extLst>
                        <a:ext uri="{28A0092B-C50C-407E-A947-70E740481C1C}">
                          <a14:useLocalDpi xmlns:a14="http://schemas.microsoft.com/office/drawing/2010/main" val="0"/>
                        </a:ext>
                      </a:extLst>
                    </a:blip>
                    <a:stretch>
                      <a:fillRect/>
                    </a:stretch>
                  </pic:blipFill>
                  <pic:spPr>
                    <a:xfrm>
                      <a:off x="0" y="0"/>
                      <a:ext cx="5237480" cy="5237480"/>
                    </a:xfrm>
                    <a:prstGeom prst="rect">
                      <a:avLst/>
                    </a:prstGeom>
                  </pic:spPr>
                </pic:pic>
              </a:graphicData>
            </a:graphic>
            <wp14:sizeRelH relativeFrom="margin">
              <wp14:pctWidth>0</wp14:pctWidth>
            </wp14:sizeRelH>
            <wp14:sizeRelV relativeFrom="margin">
              <wp14:pctHeight>0</wp14:pctHeight>
            </wp14:sizeRelV>
          </wp:anchor>
        </w:drawing>
      </w:r>
      <w:r w:rsidR="00CA2C12">
        <w:rPr>
          <w:b/>
          <w:sz w:val="22"/>
          <w:szCs w:val="22"/>
        </w:rPr>
        <w:t>Results</w:t>
      </w:r>
      <w:commentRangeEnd w:id="4"/>
      <w:r w:rsidR="000336DA">
        <w:rPr>
          <w:rStyle w:val="CommentReference"/>
        </w:rPr>
        <w:commentReference w:id="4"/>
      </w:r>
      <w:r w:rsidR="00CA2C12">
        <w:rPr>
          <w:b/>
          <w:sz w:val="22"/>
          <w:szCs w:val="22"/>
        </w:rPr>
        <w:t>:</w:t>
      </w:r>
      <w:r w:rsidR="00CE44AE">
        <w:rPr>
          <w:b/>
          <w:sz w:val="22"/>
          <w:szCs w:val="22"/>
        </w:rPr>
        <w:t xml:space="preserve"> </w:t>
      </w:r>
      <w:r w:rsidR="00CE44AE">
        <w:rPr>
          <w:sz w:val="22"/>
          <w:szCs w:val="22"/>
        </w:rPr>
        <w:t>Descriptive statistics on the 312 subjects that were randomized to a treatment arm in an RCT for D-</w:t>
      </w:r>
      <w:proofErr w:type="spellStart"/>
      <w:r w:rsidR="00CE44AE">
        <w:rPr>
          <w:sz w:val="22"/>
          <w:szCs w:val="22"/>
        </w:rPr>
        <w:t>penicillamine</w:t>
      </w:r>
      <w:proofErr w:type="spellEnd"/>
      <w:r w:rsidR="00CE44AE">
        <w:rPr>
          <w:sz w:val="22"/>
          <w:szCs w:val="22"/>
        </w:rPr>
        <w:t xml:space="preserve"> at the Mayo Clinic are presented in the table below. There were no missing data in the variables presented among these subjects. The mean age across the groups defined by serum bilirubin were relatively similar, with no clear trends. The percentage of </w:t>
      </w:r>
      <w:r w:rsidR="00AA3E5D">
        <w:rPr>
          <w:sz w:val="22"/>
          <w:szCs w:val="22"/>
        </w:rPr>
        <w:t>fe</w:t>
      </w:r>
      <w:r w:rsidR="00CE44AE">
        <w:rPr>
          <w:sz w:val="22"/>
          <w:szCs w:val="22"/>
        </w:rPr>
        <w:t xml:space="preserve">males in each category decreased as serum bilirubin increased, except at the highest category where all subjects were </w:t>
      </w:r>
      <w:r w:rsidR="00AA3E5D">
        <w:rPr>
          <w:sz w:val="22"/>
          <w:szCs w:val="22"/>
        </w:rPr>
        <w:t>fe</w:t>
      </w:r>
      <w:r w:rsidR="00CE44AE">
        <w:rPr>
          <w:sz w:val="22"/>
          <w:szCs w:val="22"/>
        </w:rPr>
        <w:t>male. Interestingly, although it was a randomized controlled trial, the percentage of subjects assigned to the D-</w:t>
      </w:r>
      <w:proofErr w:type="spellStart"/>
      <w:r w:rsidR="00CE44AE">
        <w:rPr>
          <w:sz w:val="22"/>
          <w:szCs w:val="22"/>
        </w:rPr>
        <w:t>penicillamine</w:t>
      </w:r>
      <w:proofErr w:type="spellEnd"/>
      <w:r w:rsidR="00CE44AE">
        <w:rPr>
          <w:sz w:val="22"/>
          <w:szCs w:val="22"/>
        </w:rPr>
        <w:t xml:space="preserve"> trial in the highest bilirubin group was well below 50%. The Kaplan Meier curves </w:t>
      </w:r>
      <w:r w:rsidR="00635969">
        <w:rPr>
          <w:sz w:val="22"/>
          <w:szCs w:val="22"/>
        </w:rPr>
        <w:t>of survival in each of the serum bilirubin c</w:t>
      </w:r>
      <w:r w:rsidR="00015898">
        <w:rPr>
          <w:sz w:val="22"/>
          <w:szCs w:val="22"/>
        </w:rPr>
        <w:t>ategories shows markedly decreased survival probabilities in the groups with the higher bilirubin levels. As a quick quantification of this effect, the time to 25</w:t>
      </w:r>
      <w:r w:rsidR="00015898" w:rsidRPr="00015898">
        <w:rPr>
          <w:sz w:val="22"/>
          <w:szCs w:val="22"/>
          <w:vertAlign w:val="superscript"/>
        </w:rPr>
        <w:t>th</w:t>
      </w:r>
      <w:r w:rsidR="00015898">
        <w:rPr>
          <w:sz w:val="22"/>
          <w:szCs w:val="22"/>
        </w:rPr>
        <w:t xml:space="preserve"> %</w:t>
      </w:r>
      <w:proofErr w:type="spellStart"/>
      <w:r w:rsidR="00015898">
        <w:rPr>
          <w:sz w:val="22"/>
          <w:szCs w:val="22"/>
        </w:rPr>
        <w:t>ile</w:t>
      </w:r>
      <w:proofErr w:type="spellEnd"/>
      <w:r w:rsidR="00015898">
        <w:rPr>
          <w:sz w:val="22"/>
          <w:szCs w:val="22"/>
        </w:rPr>
        <w:t xml:space="preserve"> survival (i.e. 0.75 survival probability) was drastically different for the group with lowest bilirubin (where survival probabilities didn’t reach 0.75 in over 4000 days of follow up) and the group with the highest levels (174 days).</w:t>
      </w:r>
    </w:p>
    <w:tbl>
      <w:tblPr>
        <w:tblStyle w:val="TableGrid"/>
        <w:tblW w:w="10620" w:type="dxa"/>
        <w:tblInd w:w="-612" w:type="dxa"/>
        <w:tblLayout w:type="fixed"/>
        <w:tblLook w:val="04A0" w:firstRow="1" w:lastRow="0" w:firstColumn="1" w:lastColumn="0" w:noHBand="0" w:noVBand="1"/>
      </w:tblPr>
      <w:tblGrid>
        <w:gridCol w:w="1800"/>
        <w:gridCol w:w="1350"/>
        <w:gridCol w:w="1440"/>
        <w:gridCol w:w="1350"/>
        <w:gridCol w:w="1350"/>
        <w:gridCol w:w="1260"/>
        <w:gridCol w:w="2070"/>
      </w:tblGrid>
      <w:tr w:rsidR="009B3289" w14:paraId="4C99441C" w14:textId="77777777" w:rsidTr="009B3289">
        <w:tc>
          <w:tcPr>
            <w:tcW w:w="1800" w:type="dxa"/>
          </w:tcPr>
          <w:p w14:paraId="26D65639" w14:textId="77777777" w:rsidR="009B3289" w:rsidRDefault="009B3289" w:rsidP="00CA2C12">
            <w:pPr>
              <w:autoSpaceDE w:val="0"/>
              <w:autoSpaceDN w:val="0"/>
              <w:adjustRightInd w:val="0"/>
              <w:spacing w:after="120"/>
              <w:rPr>
                <w:b/>
                <w:sz w:val="22"/>
                <w:szCs w:val="22"/>
              </w:rPr>
            </w:pPr>
          </w:p>
        </w:tc>
        <w:tc>
          <w:tcPr>
            <w:tcW w:w="6750" w:type="dxa"/>
            <w:gridSpan w:val="5"/>
          </w:tcPr>
          <w:p w14:paraId="2EF3EB92" w14:textId="2E34E951" w:rsidR="009B3289" w:rsidRDefault="009B3289" w:rsidP="008D14F9">
            <w:pPr>
              <w:autoSpaceDE w:val="0"/>
              <w:autoSpaceDN w:val="0"/>
              <w:adjustRightInd w:val="0"/>
              <w:spacing w:after="120"/>
              <w:jc w:val="center"/>
              <w:rPr>
                <w:b/>
                <w:sz w:val="22"/>
                <w:szCs w:val="22"/>
              </w:rPr>
            </w:pPr>
            <w:r>
              <w:rPr>
                <w:b/>
                <w:sz w:val="22"/>
                <w:szCs w:val="22"/>
              </w:rPr>
              <w:t>Subjects Categorized by Serum Bilirubin Levels</w:t>
            </w:r>
          </w:p>
        </w:tc>
        <w:tc>
          <w:tcPr>
            <w:tcW w:w="2070" w:type="dxa"/>
          </w:tcPr>
          <w:p w14:paraId="5EA101E6" w14:textId="58C1E9E6" w:rsidR="009B3289" w:rsidRDefault="008D14F9" w:rsidP="008D14F9">
            <w:pPr>
              <w:autoSpaceDE w:val="0"/>
              <w:autoSpaceDN w:val="0"/>
              <w:adjustRightInd w:val="0"/>
              <w:spacing w:after="120"/>
              <w:jc w:val="center"/>
              <w:rPr>
                <w:b/>
                <w:sz w:val="22"/>
                <w:szCs w:val="22"/>
              </w:rPr>
            </w:pPr>
            <w:r>
              <w:rPr>
                <w:b/>
                <w:sz w:val="22"/>
                <w:szCs w:val="22"/>
              </w:rPr>
              <w:t>Across all levels</w:t>
            </w:r>
          </w:p>
        </w:tc>
      </w:tr>
      <w:tr w:rsidR="009B3289" w14:paraId="02E6D6E8" w14:textId="77777777" w:rsidTr="009B3289">
        <w:tc>
          <w:tcPr>
            <w:tcW w:w="1800" w:type="dxa"/>
          </w:tcPr>
          <w:p w14:paraId="3B313D3B" w14:textId="3EE78797" w:rsidR="009B3289" w:rsidRDefault="009B3289" w:rsidP="00CA2C12">
            <w:pPr>
              <w:autoSpaceDE w:val="0"/>
              <w:autoSpaceDN w:val="0"/>
              <w:adjustRightInd w:val="0"/>
              <w:spacing w:after="120"/>
              <w:rPr>
                <w:b/>
                <w:sz w:val="22"/>
                <w:szCs w:val="22"/>
              </w:rPr>
            </w:pPr>
            <w:r>
              <w:rPr>
                <w:b/>
                <w:sz w:val="22"/>
                <w:szCs w:val="22"/>
              </w:rPr>
              <w:t>Serum bilirubin (mg/</w:t>
            </w:r>
            <w:proofErr w:type="spellStart"/>
            <w:r>
              <w:rPr>
                <w:b/>
                <w:sz w:val="22"/>
                <w:szCs w:val="22"/>
              </w:rPr>
              <w:t>dL</w:t>
            </w:r>
            <w:proofErr w:type="spellEnd"/>
            <w:r>
              <w:rPr>
                <w:b/>
                <w:sz w:val="22"/>
                <w:szCs w:val="22"/>
              </w:rPr>
              <w:t>)</w:t>
            </w:r>
          </w:p>
        </w:tc>
        <w:tc>
          <w:tcPr>
            <w:tcW w:w="1350" w:type="dxa"/>
          </w:tcPr>
          <w:p w14:paraId="6B06D181" w14:textId="0C0AF4BE" w:rsidR="009B3289" w:rsidRPr="008D14F9" w:rsidRDefault="009B3289" w:rsidP="008D14F9">
            <w:pPr>
              <w:autoSpaceDE w:val="0"/>
              <w:autoSpaceDN w:val="0"/>
              <w:adjustRightInd w:val="0"/>
              <w:spacing w:after="120"/>
              <w:jc w:val="center"/>
              <w:rPr>
                <w:b/>
                <w:sz w:val="24"/>
                <w:szCs w:val="24"/>
              </w:rPr>
            </w:pPr>
            <w:r w:rsidRPr="008D14F9">
              <w:rPr>
                <w:b/>
                <w:sz w:val="24"/>
                <w:szCs w:val="24"/>
              </w:rPr>
              <w:t>0.3 – 0.7</w:t>
            </w:r>
          </w:p>
        </w:tc>
        <w:tc>
          <w:tcPr>
            <w:tcW w:w="1440" w:type="dxa"/>
          </w:tcPr>
          <w:p w14:paraId="7FA0303B" w14:textId="5F926CE2" w:rsidR="009B3289" w:rsidRPr="008D14F9" w:rsidRDefault="009B3289" w:rsidP="008D14F9">
            <w:pPr>
              <w:autoSpaceDE w:val="0"/>
              <w:autoSpaceDN w:val="0"/>
              <w:adjustRightInd w:val="0"/>
              <w:spacing w:after="120"/>
              <w:jc w:val="center"/>
              <w:rPr>
                <w:b/>
                <w:sz w:val="24"/>
                <w:szCs w:val="24"/>
              </w:rPr>
            </w:pPr>
            <w:r w:rsidRPr="008D14F9">
              <w:rPr>
                <w:b/>
                <w:sz w:val="24"/>
                <w:szCs w:val="24"/>
              </w:rPr>
              <w:t>0.8 – 1.9</w:t>
            </w:r>
          </w:p>
        </w:tc>
        <w:tc>
          <w:tcPr>
            <w:tcW w:w="1350" w:type="dxa"/>
          </w:tcPr>
          <w:p w14:paraId="3F6736B4" w14:textId="6B71BA5D" w:rsidR="009B3289" w:rsidRPr="008D14F9" w:rsidRDefault="009B3289" w:rsidP="008D14F9">
            <w:pPr>
              <w:autoSpaceDE w:val="0"/>
              <w:autoSpaceDN w:val="0"/>
              <w:adjustRightInd w:val="0"/>
              <w:spacing w:after="120"/>
              <w:jc w:val="center"/>
              <w:rPr>
                <w:b/>
                <w:sz w:val="24"/>
                <w:szCs w:val="24"/>
              </w:rPr>
            </w:pPr>
            <w:r w:rsidRPr="008D14F9">
              <w:rPr>
                <w:b/>
                <w:sz w:val="24"/>
                <w:szCs w:val="24"/>
              </w:rPr>
              <w:t>2.0 – 4.6</w:t>
            </w:r>
          </w:p>
        </w:tc>
        <w:tc>
          <w:tcPr>
            <w:tcW w:w="1350" w:type="dxa"/>
          </w:tcPr>
          <w:p w14:paraId="75AA6730" w14:textId="414677D7" w:rsidR="009B3289" w:rsidRPr="008D14F9" w:rsidRDefault="009B3289" w:rsidP="008D14F9">
            <w:pPr>
              <w:autoSpaceDE w:val="0"/>
              <w:autoSpaceDN w:val="0"/>
              <w:adjustRightInd w:val="0"/>
              <w:spacing w:after="120"/>
              <w:jc w:val="center"/>
              <w:rPr>
                <w:b/>
                <w:sz w:val="24"/>
                <w:szCs w:val="24"/>
              </w:rPr>
            </w:pPr>
            <w:r w:rsidRPr="008D14F9">
              <w:rPr>
                <w:b/>
                <w:sz w:val="24"/>
                <w:szCs w:val="24"/>
              </w:rPr>
              <w:t>4.7 – 9.3</w:t>
            </w:r>
          </w:p>
        </w:tc>
        <w:tc>
          <w:tcPr>
            <w:tcW w:w="1260" w:type="dxa"/>
          </w:tcPr>
          <w:p w14:paraId="25458770" w14:textId="295F042A" w:rsidR="009B3289" w:rsidRPr="008D14F9" w:rsidRDefault="009B3289" w:rsidP="008D14F9">
            <w:pPr>
              <w:autoSpaceDE w:val="0"/>
              <w:autoSpaceDN w:val="0"/>
              <w:adjustRightInd w:val="0"/>
              <w:spacing w:after="120"/>
              <w:jc w:val="center"/>
              <w:rPr>
                <w:b/>
                <w:sz w:val="24"/>
                <w:szCs w:val="24"/>
              </w:rPr>
            </w:pPr>
            <w:r w:rsidRPr="008D14F9">
              <w:rPr>
                <w:b/>
                <w:sz w:val="24"/>
                <w:szCs w:val="24"/>
              </w:rPr>
              <w:t>9.3 – 28.0</w:t>
            </w:r>
          </w:p>
        </w:tc>
        <w:tc>
          <w:tcPr>
            <w:tcW w:w="2070" w:type="dxa"/>
          </w:tcPr>
          <w:p w14:paraId="776995D9" w14:textId="2ED6C050" w:rsidR="009B3289" w:rsidRPr="008D14F9" w:rsidRDefault="009B3289" w:rsidP="008D14F9">
            <w:pPr>
              <w:autoSpaceDE w:val="0"/>
              <w:autoSpaceDN w:val="0"/>
              <w:adjustRightInd w:val="0"/>
              <w:spacing w:after="120"/>
              <w:jc w:val="center"/>
              <w:rPr>
                <w:b/>
                <w:sz w:val="24"/>
                <w:szCs w:val="24"/>
              </w:rPr>
            </w:pPr>
            <w:r w:rsidRPr="008D14F9">
              <w:rPr>
                <w:b/>
                <w:sz w:val="24"/>
                <w:szCs w:val="24"/>
              </w:rPr>
              <w:t>All</w:t>
            </w:r>
          </w:p>
        </w:tc>
      </w:tr>
      <w:tr w:rsidR="009B3289" w14:paraId="6560A5A1" w14:textId="77777777" w:rsidTr="006F6B36">
        <w:tc>
          <w:tcPr>
            <w:tcW w:w="1800" w:type="dxa"/>
          </w:tcPr>
          <w:p w14:paraId="3564ACB9" w14:textId="47BF05B4" w:rsidR="009B3289" w:rsidRDefault="009B3289" w:rsidP="00CA2C12">
            <w:pPr>
              <w:autoSpaceDE w:val="0"/>
              <w:autoSpaceDN w:val="0"/>
              <w:adjustRightInd w:val="0"/>
              <w:spacing w:after="120"/>
              <w:rPr>
                <w:b/>
                <w:sz w:val="22"/>
                <w:szCs w:val="22"/>
              </w:rPr>
            </w:pPr>
            <w:r>
              <w:rPr>
                <w:b/>
                <w:sz w:val="22"/>
                <w:szCs w:val="22"/>
              </w:rPr>
              <w:t>Number subjects</w:t>
            </w:r>
          </w:p>
        </w:tc>
        <w:tc>
          <w:tcPr>
            <w:tcW w:w="1350" w:type="dxa"/>
            <w:vAlign w:val="center"/>
          </w:tcPr>
          <w:p w14:paraId="7242FAF6" w14:textId="064A99AB" w:rsidR="009B3289" w:rsidRPr="008D14F9" w:rsidRDefault="009B3289" w:rsidP="006F6B36">
            <w:pPr>
              <w:autoSpaceDE w:val="0"/>
              <w:autoSpaceDN w:val="0"/>
              <w:adjustRightInd w:val="0"/>
              <w:spacing w:after="120"/>
              <w:jc w:val="right"/>
              <w:rPr>
                <w:rFonts w:ascii="Calibri" w:hAnsi="Calibri"/>
                <w:color w:val="000000"/>
                <w:sz w:val="24"/>
                <w:szCs w:val="24"/>
              </w:rPr>
            </w:pPr>
            <w:r w:rsidRPr="008D14F9">
              <w:rPr>
                <w:rFonts w:ascii="Calibri" w:hAnsi="Calibri"/>
                <w:color w:val="000000"/>
                <w:sz w:val="24"/>
                <w:szCs w:val="24"/>
              </w:rPr>
              <w:t>73</w:t>
            </w:r>
          </w:p>
        </w:tc>
        <w:tc>
          <w:tcPr>
            <w:tcW w:w="1440" w:type="dxa"/>
            <w:vAlign w:val="center"/>
          </w:tcPr>
          <w:p w14:paraId="0EA2B3B2" w14:textId="76F5EF56" w:rsidR="009B3289" w:rsidRPr="008D14F9" w:rsidRDefault="009B3289" w:rsidP="006F6B36">
            <w:pPr>
              <w:autoSpaceDE w:val="0"/>
              <w:autoSpaceDN w:val="0"/>
              <w:adjustRightInd w:val="0"/>
              <w:spacing w:after="120"/>
              <w:jc w:val="right"/>
              <w:rPr>
                <w:rFonts w:ascii="Calibri" w:hAnsi="Calibri"/>
                <w:color w:val="000000"/>
                <w:sz w:val="24"/>
                <w:szCs w:val="24"/>
              </w:rPr>
            </w:pPr>
            <w:r w:rsidRPr="008D14F9">
              <w:rPr>
                <w:rFonts w:ascii="Calibri" w:hAnsi="Calibri"/>
                <w:color w:val="000000"/>
                <w:sz w:val="24"/>
                <w:szCs w:val="24"/>
              </w:rPr>
              <w:t>108</w:t>
            </w:r>
          </w:p>
        </w:tc>
        <w:tc>
          <w:tcPr>
            <w:tcW w:w="1350" w:type="dxa"/>
            <w:vAlign w:val="center"/>
          </w:tcPr>
          <w:p w14:paraId="12D45EC0" w14:textId="53EBBB9D" w:rsidR="009B3289" w:rsidRPr="008D14F9" w:rsidRDefault="009B3289" w:rsidP="006F6B36">
            <w:pPr>
              <w:autoSpaceDE w:val="0"/>
              <w:autoSpaceDN w:val="0"/>
              <w:adjustRightInd w:val="0"/>
              <w:spacing w:after="120"/>
              <w:jc w:val="right"/>
              <w:rPr>
                <w:rFonts w:ascii="Calibri" w:hAnsi="Calibri"/>
                <w:color w:val="000000"/>
                <w:sz w:val="24"/>
                <w:szCs w:val="24"/>
              </w:rPr>
            </w:pPr>
            <w:r w:rsidRPr="008D14F9">
              <w:rPr>
                <w:rFonts w:ascii="Calibri" w:hAnsi="Calibri"/>
                <w:color w:val="000000"/>
                <w:sz w:val="24"/>
                <w:szCs w:val="24"/>
              </w:rPr>
              <w:t>69</w:t>
            </w:r>
          </w:p>
        </w:tc>
        <w:tc>
          <w:tcPr>
            <w:tcW w:w="1350" w:type="dxa"/>
            <w:vAlign w:val="center"/>
          </w:tcPr>
          <w:p w14:paraId="7843B03B" w14:textId="15895C2A" w:rsidR="009B3289" w:rsidRPr="008D14F9" w:rsidRDefault="009B3289" w:rsidP="006F6B36">
            <w:pPr>
              <w:autoSpaceDE w:val="0"/>
              <w:autoSpaceDN w:val="0"/>
              <w:adjustRightInd w:val="0"/>
              <w:spacing w:after="120"/>
              <w:jc w:val="right"/>
              <w:rPr>
                <w:rFonts w:ascii="Calibri" w:hAnsi="Calibri"/>
                <w:color w:val="000000"/>
                <w:sz w:val="24"/>
                <w:szCs w:val="24"/>
              </w:rPr>
            </w:pPr>
            <w:r w:rsidRPr="008D14F9">
              <w:rPr>
                <w:rFonts w:ascii="Calibri" w:hAnsi="Calibri"/>
                <w:color w:val="000000"/>
                <w:sz w:val="24"/>
                <w:szCs w:val="24"/>
              </w:rPr>
              <w:t>38</w:t>
            </w:r>
          </w:p>
        </w:tc>
        <w:tc>
          <w:tcPr>
            <w:tcW w:w="1260" w:type="dxa"/>
            <w:vAlign w:val="center"/>
          </w:tcPr>
          <w:p w14:paraId="57CCC862" w14:textId="51A180D6" w:rsidR="009B3289" w:rsidRPr="008D14F9" w:rsidRDefault="009B3289" w:rsidP="006F6B36">
            <w:pPr>
              <w:autoSpaceDE w:val="0"/>
              <w:autoSpaceDN w:val="0"/>
              <w:adjustRightInd w:val="0"/>
              <w:spacing w:after="120"/>
              <w:jc w:val="right"/>
              <w:rPr>
                <w:rFonts w:ascii="Calibri" w:hAnsi="Calibri"/>
                <w:color w:val="000000"/>
                <w:sz w:val="24"/>
                <w:szCs w:val="24"/>
              </w:rPr>
            </w:pPr>
            <w:r w:rsidRPr="008D14F9">
              <w:rPr>
                <w:rFonts w:ascii="Calibri" w:hAnsi="Calibri"/>
                <w:color w:val="000000"/>
                <w:sz w:val="24"/>
                <w:szCs w:val="24"/>
              </w:rPr>
              <w:t>24</w:t>
            </w:r>
          </w:p>
        </w:tc>
        <w:tc>
          <w:tcPr>
            <w:tcW w:w="2070" w:type="dxa"/>
            <w:vAlign w:val="center"/>
          </w:tcPr>
          <w:p w14:paraId="663048AB" w14:textId="3BD879D1" w:rsidR="009B3289" w:rsidRPr="008D14F9" w:rsidRDefault="009B3289" w:rsidP="006F6B36">
            <w:pPr>
              <w:jc w:val="right"/>
              <w:rPr>
                <w:rFonts w:ascii="Calibri" w:hAnsi="Calibri"/>
                <w:color w:val="000000"/>
                <w:sz w:val="24"/>
                <w:szCs w:val="24"/>
              </w:rPr>
            </w:pPr>
            <w:r w:rsidRPr="008D14F9">
              <w:rPr>
                <w:rFonts w:ascii="Calibri" w:hAnsi="Calibri"/>
                <w:color w:val="000000"/>
                <w:sz w:val="24"/>
                <w:szCs w:val="24"/>
              </w:rPr>
              <w:t>312</w:t>
            </w:r>
          </w:p>
        </w:tc>
      </w:tr>
      <w:tr w:rsidR="009B3289" w14:paraId="021AB01A" w14:textId="77777777" w:rsidTr="006F6B36">
        <w:tc>
          <w:tcPr>
            <w:tcW w:w="1800" w:type="dxa"/>
          </w:tcPr>
          <w:p w14:paraId="6CCF4617" w14:textId="022B8347" w:rsidR="009B3289" w:rsidRDefault="009B3289" w:rsidP="00CA2C12">
            <w:pPr>
              <w:autoSpaceDE w:val="0"/>
              <w:autoSpaceDN w:val="0"/>
              <w:adjustRightInd w:val="0"/>
              <w:spacing w:after="120"/>
              <w:rPr>
                <w:b/>
                <w:sz w:val="22"/>
                <w:szCs w:val="22"/>
              </w:rPr>
            </w:pPr>
            <w:r>
              <w:rPr>
                <w:b/>
                <w:sz w:val="22"/>
                <w:szCs w:val="22"/>
              </w:rPr>
              <w:lastRenderedPageBreak/>
              <w:t>Age (y)</w:t>
            </w:r>
          </w:p>
        </w:tc>
        <w:tc>
          <w:tcPr>
            <w:tcW w:w="1350" w:type="dxa"/>
            <w:vAlign w:val="center"/>
          </w:tcPr>
          <w:p w14:paraId="66C0C8F5" w14:textId="65A62166" w:rsidR="009B3289" w:rsidRPr="008D14F9" w:rsidRDefault="009B3289" w:rsidP="006F6B36">
            <w:pPr>
              <w:autoSpaceDE w:val="0"/>
              <w:autoSpaceDN w:val="0"/>
              <w:adjustRightInd w:val="0"/>
              <w:spacing w:after="120"/>
              <w:jc w:val="right"/>
              <w:rPr>
                <w:sz w:val="24"/>
                <w:szCs w:val="24"/>
              </w:rPr>
            </w:pPr>
            <w:r w:rsidRPr="008D14F9">
              <w:rPr>
                <w:rFonts w:ascii="Calibri" w:hAnsi="Calibri"/>
                <w:color w:val="000000"/>
                <w:sz w:val="24"/>
                <w:szCs w:val="24"/>
              </w:rPr>
              <w:t>50.0 (9.6, 32 - 73)</w:t>
            </w:r>
          </w:p>
        </w:tc>
        <w:tc>
          <w:tcPr>
            <w:tcW w:w="1440" w:type="dxa"/>
            <w:vAlign w:val="center"/>
          </w:tcPr>
          <w:p w14:paraId="0CEA3F71" w14:textId="315C3F11" w:rsidR="009B3289" w:rsidRPr="008D14F9" w:rsidRDefault="009B3289" w:rsidP="006F6B36">
            <w:pPr>
              <w:autoSpaceDE w:val="0"/>
              <w:autoSpaceDN w:val="0"/>
              <w:adjustRightInd w:val="0"/>
              <w:spacing w:after="120"/>
              <w:jc w:val="right"/>
              <w:rPr>
                <w:sz w:val="24"/>
                <w:szCs w:val="24"/>
              </w:rPr>
            </w:pPr>
            <w:r w:rsidRPr="008D14F9">
              <w:rPr>
                <w:rFonts w:ascii="Calibri" w:hAnsi="Calibri"/>
                <w:color w:val="000000"/>
                <w:sz w:val="24"/>
                <w:szCs w:val="24"/>
              </w:rPr>
              <w:t>50.0 (10.6, 26 - 77)</w:t>
            </w:r>
          </w:p>
        </w:tc>
        <w:tc>
          <w:tcPr>
            <w:tcW w:w="1350" w:type="dxa"/>
            <w:vAlign w:val="center"/>
          </w:tcPr>
          <w:p w14:paraId="11907CC3" w14:textId="3AEC3010" w:rsidR="009B3289" w:rsidRPr="008D14F9" w:rsidRDefault="009B3289" w:rsidP="006F6B36">
            <w:pPr>
              <w:autoSpaceDE w:val="0"/>
              <w:autoSpaceDN w:val="0"/>
              <w:adjustRightInd w:val="0"/>
              <w:spacing w:after="120"/>
              <w:jc w:val="right"/>
              <w:rPr>
                <w:sz w:val="24"/>
                <w:szCs w:val="24"/>
              </w:rPr>
            </w:pPr>
            <w:r w:rsidRPr="008D14F9">
              <w:rPr>
                <w:rFonts w:ascii="Calibri" w:hAnsi="Calibri"/>
                <w:color w:val="000000"/>
                <w:sz w:val="24"/>
                <w:szCs w:val="24"/>
              </w:rPr>
              <w:t>49.7 (11.3, 30 - 72)</w:t>
            </w:r>
          </w:p>
        </w:tc>
        <w:tc>
          <w:tcPr>
            <w:tcW w:w="1350" w:type="dxa"/>
            <w:vAlign w:val="center"/>
          </w:tcPr>
          <w:p w14:paraId="6F0F0CD8" w14:textId="11FCBB32" w:rsidR="009B3289" w:rsidRPr="008D14F9" w:rsidRDefault="009B3289" w:rsidP="006F6B36">
            <w:pPr>
              <w:autoSpaceDE w:val="0"/>
              <w:autoSpaceDN w:val="0"/>
              <w:adjustRightInd w:val="0"/>
              <w:spacing w:after="120"/>
              <w:jc w:val="right"/>
              <w:rPr>
                <w:sz w:val="24"/>
                <w:szCs w:val="24"/>
              </w:rPr>
            </w:pPr>
            <w:r w:rsidRPr="008D14F9">
              <w:rPr>
                <w:rFonts w:ascii="Calibri" w:hAnsi="Calibri"/>
                <w:color w:val="000000"/>
                <w:sz w:val="24"/>
                <w:szCs w:val="24"/>
              </w:rPr>
              <w:t>50.5 (11.8, 31 - 78)</w:t>
            </w:r>
          </w:p>
        </w:tc>
        <w:tc>
          <w:tcPr>
            <w:tcW w:w="1260" w:type="dxa"/>
            <w:vAlign w:val="center"/>
          </w:tcPr>
          <w:p w14:paraId="2F6CA9AA" w14:textId="27A6176D" w:rsidR="009B3289" w:rsidRPr="008D14F9" w:rsidRDefault="009B3289" w:rsidP="006F6B36">
            <w:pPr>
              <w:autoSpaceDE w:val="0"/>
              <w:autoSpaceDN w:val="0"/>
              <w:adjustRightInd w:val="0"/>
              <w:spacing w:after="120"/>
              <w:jc w:val="right"/>
              <w:rPr>
                <w:sz w:val="24"/>
                <w:szCs w:val="24"/>
              </w:rPr>
            </w:pPr>
            <w:r w:rsidRPr="008D14F9">
              <w:rPr>
                <w:rFonts w:ascii="Calibri" w:hAnsi="Calibri"/>
                <w:color w:val="000000"/>
                <w:sz w:val="24"/>
                <w:szCs w:val="24"/>
              </w:rPr>
              <w:t>50.7 (10., 33 - 71)</w:t>
            </w:r>
          </w:p>
        </w:tc>
        <w:tc>
          <w:tcPr>
            <w:tcW w:w="2070" w:type="dxa"/>
            <w:vAlign w:val="center"/>
          </w:tcPr>
          <w:tbl>
            <w:tblPr>
              <w:tblW w:w="1300" w:type="dxa"/>
              <w:jc w:val="right"/>
              <w:tblLayout w:type="fixed"/>
              <w:tblLook w:val="04A0" w:firstRow="1" w:lastRow="0" w:firstColumn="1" w:lastColumn="0" w:noHBand="0" w:noVBand="1"/>
            </w:tblPr>
            <w:tblGrid>
              <w:gridCol w:w="1300"/>
            </w:tblGrid>
            <w:tr w:rsidR="009B3289" w:rsidRPr="008D14F9" w14:paraId="5C5AB67B" w14:textId="77777777" w:rsidTr="008D14F9">
              <w:trPr>
                <w:trHeight w:val="300"/>
                <w:jc w:val="right"/>
              </w:trPr>
              <w:tc>
                <w:tcPr>
                  <w:tcW w:w="1300" w:type="dxa"/>
                  <w:tcBorders>
                    <w:top w:val="nil"/>
                    <w:left w:val="nil"/>
                    <w:bottom w:val="nil"/>
                    <w:right w:val="nil"/>
                  </w:tcBorders>
                  <w:shd w:val="clear" w:color="auto" w:fill="auto"/>
                  <w:noWrap/>
                  <w:vAlign w:val="bottom"/>
                  <w:hideMark/>
                </w:tcPr>
                <w:p w14:paraId="77B7AC52" w14:textId="77777777" w:rsidR="009B3289" w:rsidRPr="008D14F9" w:rsidRDefault="009B3289" w:rsidP="006F6B36">
                  <w:pPr>
                    <w:jc w:val="right"/>
                    <w:rPr>
                      <w:rFonts w:ascii="Calibri" w:hAnsi="Calibri"/>
                      <w:color w:val="000000"/>
                      <w:sz w:val="24"/>
                      <w:szCs w:val="24"/>
                    </w:rPr>
                  </w:pPr>
                  <w:r w:rsidRPr="008D14F9">
                    <w:rPr>
                      <w:rFonts w:ascii="Calibri" w:hAnsi="Calibri"/>
                      <w:color w:val="000000"/>
                      <w:sz w:val="24"/>
                      <w:szCs w:val="24"/>
                    </w:rPr>
                    <w:t>50.0 (10.6, 26 - 78)</w:t>
                  </w:r>
                </w:p>
              </w:tc>
            </w:tr>
          </w:tbl>
          <w:p w14:paraId="76B5A783" w14:textId="77777777" w:rsidR="009B3289" w:rsidRPr="008D14F9" w:rsidRDefault="009B3289" w:rsidP="006F6B36">
            <w:pPr>
              <w:autoSpaceDE w:val="0"/>
              <w:autoSpaceDN w:val="0"/>
              <w:adjustRightInd w:val="0"/>
              <w:spacing w:after="120"/>
              <w:jc w:val="right"/>
              <w:rPr>
                <w:sz w:val="24"/>
                <w:szCs w:val="24"/>
              </w:rPr>
            </w:pPr>
          </w:p>
        </w:tc>
      </w:tr>
      <w:tr w:rsidR="009B3289" w14:paraId="33CBDBED" w14:textId="77777777" w:rsidTr="006F6B36">
        <w:tc>
          <w:tcPr>
            <w:tcW w:w="1800" w:type="dxa"/>
          </w:tcPr>
          <w:p w14:paraId="54E29642" w14:textId="5BC2061F" w:rsidR="009B3289" w:rsidRDefault="00AA3E5D" w:rsidP="00CA2C12">
            <w:pPr>
              <w:autoSpaceDE w:val="0"/>
              <w:autoSpaceDN w:val="0"/>
              <w:adjustRightInd w:val="0"/>
              <w:spacing w:after="120"/>
              <w:rPr>
                <w:b/>
                <w:sz w:val="22"/>
                <w:szCs w:val="22"/>
              </w:rPr>
            </w:pPr>
            <w:r>
              <w:rPr>
                <w:b/>
                <w:sz w:val="22"/>
                <w:szCs w:val="22"/>
              </w:rPr>
              <w:t>% Fem</w:t>
            </w:r>
            <w:r w:rsidR="009B3289">
              <w:rPr>
                <w:b/>
                <w:sz w:val="22"/>
                <w:szCs w:val="22"/>
              </w:rPr>
              <w:t>ale</w:t>
            </w:r>
          </w:p>
        </w:tc>
        <w:tc>
          <w:tcPr>
            <w:tcW w:w="1350" w:type="dxa"/>
            <w:vAlign w:val="center"/>
          </w:tcPr>
          <w:p w14:paraId="13AB4064" w14:textId="584E00A7" w:rsidR="009B3289" w:rsidRPr="008D14F9" w:rsidRDefault="009B3289" w:rsidP="006F6B36">
            <w:pPr>
              <w:autoSpaceDE w:val="0"/>
              <w:autoSpaceDN w:val="0"/>
              <w:adjustRightInd w:val="0"/>
              <w:spacing w:after="120"/>
              <w:jc w:val="right"/>
              <w:rPr>
                <w:sz w:val="24"/>
                <w:szCs w:val="24"/>
              </w:rPr>
            </w:pPr>
            <w:r w:rsidRPr="008D14F9">
              <w:rPr>
                <w:sz w:val="24"/>
                <w:szCs w:val="24"/>
              </w:rPr>
              <w:t>94.5</w:t>
            </w:r>
          </w:p>
        </w:tc>
        <w:tc>
          <w:tcPr>
            <w:tcW w:w="1440" w:type="dxa"/>
            <w:vAlign w:val="center"/>
          </w:tcPr>
          <w:p w14:paraId="2BD201B7" w14:textId="437BF5A3" w:rsidR="009B3289" w:rsidRPr="008D14F9" w:rsidRDefault="009B3289" w:rsidP="006F6B36">
            <w:pPr>
              <w:autoSpaceDE w:val="0"/>
              <w:autoSpaceDN w:val="0"/>
              <w:adjustRightInd w:val="0"/>
              <w:spacing w:after="120"/>
              <w:jc w:val="right"/>
              <w:rPr>
                <w:sz w:val="24"/>
                <w:szCs w:val="24"/>
              </w:rPr>
            </w:pPr>
            <w:r w:rsidRPr="008D14F9">
              <w:rPr>
                <w:sz w:val="24"/>
                <w:szCs w:val="24"/>
              </w:rPr>
              <w:t>88.9</w:t>
            </w:r>
          </w:p>
        </w:tc>
        <w:tc>
          <w:tcPr>
            <w:tcW w:w="1350" w:type="dxa"/>
            <w:vAlign w:val="center"/>
          </w:tcPr>
          <w:p w14:paraId="3298849A" w14:textId="058B486F" w:rsidR="009B3289" w:rsidRPr="008D14F9" w:rsidRDefault="009B3289" w:rsidP="006F6B36">
            <w:pPr>
              <w:autoSpaceDE w:val="0"/>
              <w:autoSpaceDN w:val="0"/>
              <w:adjustRightInd w:val="0"/>
              <w:spacing w:after="120"/>
              <w:jc w:val="right"/>
              <w:rPr>
                <w:sz w:val="24"/>
                <w:szCs w:val="24"/>
              </w:rPr>
            </w:pPr>
            <w:r w:rsidRPr="008D14F9">
              <w:rPr>
                <w:sz w:val="24"/>
                <w:szCs w:val="24"/>
              </w:rPr>
              <w:t>81.2</w:t>
            </w:r>
          </w:p>
        </w:tc>
        <w:tc>
          <w:tcPr>
            <w:tcW w:w="1350" w:type="dxa"/>
            <w:vAlign w:val="center"/>
          </w:tcPr>
          <w:p w14:paraId="2023C77D" w14:textId="4B66721C" w:rsidR="009B3289" w:rsidRPr="008D14F9" w:rsidRDefault="009B3289" w:rsidP="006F6B36">
            <w:pPr>
              <w:autoSpaceDE w:val="0"/>
              <w:autoSpaceDN w:val="0"/>
              <w:adjustRightInd w:val="0"/>
              <w:spacing w:after="120"/>
              <w:jc w:val="right"/>
              <w:rPr>
                <w:sz w:val="24"/>
                <w:szCs w:val="24"/>
              </w:rPr>
            </w:pPr>
            <w:r w:rsidRPr="008D14F9">
              <w:rPr>
                <w:sz w:val="24"/>
                <w:szCs w:val="24"/>
              </w:rPr>
              <w:t>81.2</w:t>
            </w:r>
          </w:p>
        </w:tc>
        <w:tc>
          <w:tcPr>
            <w:tcW w:w="1260" w:type="dxa"/>
            <w:vAlign w:val="center"/>
          </w:tcPr>
          <w:p w14:paraId="17A8BB16" w14:textId="34348752" w:rsidR="009B3289" w:rsidRPr="008D14F9" w:rsidRDefault="009B3289" w:rsidP="006F6B36">
            <w:pPr>
              <w:autoSpaceDE w:val="0"/>
              <w:autoSpaceDN w:val="0"/>
              <w:adjustRightInd w:val="0"/>
              <w:spacing w:after="120"/>
              <w:jc w:val="right"/>
              <w:rPr>
                <w:sz w:val="24"/>
                <w:szCs w:val="24"/>
              </w:rPr>
            </w:pPr>
            <w:r w:rsidRPr="008D14F9">
              <w:rPr>
                <w:sz w:val="24"/>
                <w:szCs w:val="24"/>
              </w:rPr>
              <w:t>100</w:t>
            </w:r>
          </w:p>
        </w:tc>
        <w:tc>
          <w:tcPr>
            <w:tcW w:w="2070" w:type="dxa"/>
            <w:vAlign w:val="center"/>
          </w:tcPr>
          <w:p w14:paraId="3F1E0911" w14:textId="1FBAB211" w:rsidR="009B3289" w:rsidRPr="008D14F9" w:rsidRDefault="009B3289" w:rsidP="006F6B36">
            <w:pPr>
              <w:autoSpaceDE w:val="0"/>
              <w:autoSpaceDN w:val="0"/>
              <w:adjustRightInd w:val="0"/>
              <w:spacing w:after="120"/>
              <w:jc w:val="right"/>
              <w:rPr>
                <w:sz w:val="24"/>
                <w:szCs w:val="24"/>
              </w:rPr>
            </w:pPr>
            <w:r w:rsidRPr="008D14F9">
              <w:rPr>
                <w:sz w:val="24"/>
                <w:szCs w:val="24"/>
              </w:rPr>
              <w:t>88.5</w:t>
            </w:r>
          </w:p>
        </w:tc>
      </w:tr>
      <w:tr w:rsidR="009B3289" w14:paraId="1A0FE4CD" w14:textId="77777777" w:rsidTr="006F6B36">
        <w:tc>
          <w:tcPr>
            <w:tcW w:w="1800" w:type="dxa"/>
          </w:tcPr>
          <w:p w14:paraId="2EC0EEA9" w14:textId="5F64FEBE" w:rsidR="009B3289" w:rsidRDefault="009B3289" w:rsidP="00CA2C12">
            <w:pPr>
              <w:autoSpaceDE w:val="0"/>
              <w:autoSpaceDN w:val="0"/>
              <w:adjustRightInd w:val="0"/>
              <w:spacing w:after="120"/>
              <w:rPr>
                <w:b/>
                <w:sz w:val="22"/>
                <w:szCs w:val="22"/>
              </w:rPr>
            </w:pPr>
            <w:r>
              <w:rPr>
                <w:b/>
                <w:sz w:val="22"/>
                <w:szCs w:val="22"/>
              </w:rPr>
              <w:t>% Assigned to D-</w:t>
            </w:r>
            <w:proofErr w:type="spellStart"/>
            <w:r>
              <w:rPr>
                <w:b/>
                <w:sz w:val="22"/>
                <w:szCs w:val="22"/>
              </w:rPr>
              <w:t>penicillamine</w:t>
            </w:r>
            <w:proofErr w:type="spellEnd"/>
          </w:p>
        </w:tc>
        <w:tc>
          <w:tcPr>
            <w:tcW w:w="1350" w:type="dxa"/>
            <w:vAlign w:val="center"/>
          </w:tcPr>
          <w:p w14:paraId="3A90A1E3" w14:textId="5E3824E3" w:rsidR="009B3289" w:rsidRPr="008D14F9" w:rsidRDefault="009B3289" w:rsidP="006F6B36">
            <w:pPr>
              <w:autoSpaceDE w:val="0"/>
              <w:autoSpaceDN w:val="0"/>
              <w:adjustRightInd w:val="0"/>
              <w:spacing w:after="120"/>
              <w:jc w:val="right"/>
              <w:rPr>
                <w:sz w:val="24"/>
                <w:szCs w:val="24"/>
              </w:rPr>
            </w:pPr>
            <w:r w:rsidRPr="008D14F9">
              <w:rPr>
                <w:sz w:val="24"/>
                <w:szCs w:val="24"/>
              </w:rPr>
              <w:t>47.2</w:t>
            </w:r>
          </w:p>
        </w:tc>
        <w:tc>
          <w:tcPr>
            <w:tcW w:w="1440" w:type="dxa"/>
            <w:vAlign w:val="center"/>
          </w:tcPr>
          <w:p w14:paraId="599F48CC" w14:textId="2AEBF8F9" w:rsidR="009B3289" w:rsidRPr="008D14F9" w:rsidRDefault="009B3289" w:rsidP="006F6B36">
            <w:pPr>
              <w:autoSpaceDE w:val="0"/>
              <w:autoSpaceDN w:val="0"/>
              <w:adjustRightInd w:val="0"/>
              <w:spacing w:after="120"/>
              <w:jc w:val="right"/>
              <w:rPr>
                <w:sz w:val="24"/>
                <w:szCs w:val="24"/>
              </w:rPr>
            </w:pPr>
            <w:r w:rsidRPr="008D14F9">
              <w:rPr>
                <w:sz w:val="24"/>
                <w:szCs w:val="24"/>
              </w:rPr>
              <w:t>54.2</w:t>
            </w:r>
          </w:p>
        </w:tc>
        <w:tc>
          <w:tcPr>
            <w:tcW w:w="1350" w:type="dxa"/>
            <w:vAlign w:val="center"/>
          </w:tcPr>
          <w:p w14:paraId="4EB890F3" w14:textId="39BB4080" w:rsidR="009B3289" w:rsidRPr="008D14F9" w:rsidRDefault="009B3289" w:rsidP="006F6B36">
            <w:pPr>
              <w:autoSpaceDE w:val="0"/>
              <w:autoSpaceDN w:val="0"/>
              <w:adjustRightInd w:val="0"/>
              <w:spacing w:after="120"/>
              <w:jc w:val="right"/>
              <w:rPr>
                <w:sz w:val="24"/>
                <w:szCs w:val="24"/>
              </w:rPr>
            </w:pPr>
            <w:r w:rsidRPr="008D14F9">
              <w:rPr>
                <w:sz w:val="24"/>
                <w:szCs w:val="24"/>
              </w:rPr>
              <w:t>55.1</w:t>
            </w:r>
          </w:p>
        </w:tc>
        <w:tc>
          <w:tcPr>
            <w:tcW w:w="1350" w:type="dxa"/>
            <w:vAlign w:val="center"/>
          </w:tcPr>
          <w:p w14:paraId="199DA820" w14:textId="5FA63262" w:rsidR="009B3289" w:rsidRPr="008D14F9" w:rsidRDefault="009B3289" w:rsidP="006F6B36">
            <w:pPr>
              <w:autoSpaceDE w:val="0"/>
              <w:autoSpaceDN w:val="0"/>
              <w:adjustRightInd w:val="0"/>
              <w:spacing w:after="120"/>
              <w:jc w:val="right"/>
              <w:rPr>
                <w:sz w:val="24"/>
                <w:szCs w:val="24"/>
              </w:rPr>
            </w:pPr>
            <w:r w:rsidRPr="008D14F9">
              <w:rPr>
                <w:sz w:val="24"/>
                <w:szCs w:val="24"/>
              </w:rPr>
              <w:t>47.4</w:t>
            </w:r>
          </w:p>
        </w:tc>
        <w:tc>
          <w:tcPr>
            <w:tcW w:w="1260" w:type="dxa"/>
            <w:vAlign w:val="center"/>
          </w:tcPr>
          <w:p w14:paraId="5047920A" w14:textId="05E7C92C" w:rsidR="009B3289" w:rsidRPr="008D14F9" w:rsidRDefault="009B3289" w:rsidP="006F6B36">
            <w:pPr>
              <w:autoSpaceDE w:val="0"/>
              <w:autoSpaceDN w:val="0"/>
              <w:adjustRightInd w:val="0"/>
              <w:spacing w:after="120"/>
              <w:jc w:val="right"/>
              <w:rPr>
                <w:sz w:val="24"/>
                <w:szCs w:val="24"/>
              </w:rPr>
            </w:pPr>
            <w:r w:rsidRPr="008D14F9">
              <w:rPr>
                <w:sz w:val="24"/>
                <w:szCs w:val="24"/>
              </w:rPr>
              <w:t>37.5</w:t>
            </w:r>
          </w:p>
        </w:tc>
        <w:tc>
          <w:tcPr>
            <w:tcW w:w="2070" w:type="dxa"/>
            <w:vAlign w:val="center"/>
          </w:tcPr>
          <w:p w14:paraId="64BA6F3C" w14:textId="281D6238" w:rsidR="009B3289" w:rsidRPr="008D14F9" w:rsidRDefault="009B3289" w:rsidP="006F6B36">
            <w:pPr>
              <w:autoSpaceDE w:val="0"/>
              <w:autoSpaceDN w:val="0"/>
              <w:adjustRightInd w:val="0"/>
              <w:spacing w:after="120"/>
              <w:jc w:val="right"/>
              <w:rPr>
                <w:sz w:val="24"/>
                <w:szCs w:val="24"/>
              </w:rPr>
            </w:pPr>
            <w:r w:rsidRPr="008D14F9">
              <w:rPr>
                <w:sz w:val="24"/>
                <w:szCs w:val="24"/>
              </w:rPr>
              <w:t>50.6</w:t>
            </w:r>
          </w:p>
        </w:tc>
      </w:tr>
      <w:tr w:rsidR="009B3289" w14:paraId="3B439AB4" w14:textId="77777777" w:rsidTr="006F6B36">
        <w:tc>
          <w:tcPr>
            <w:tcW w:w="1800" w:type="dxa"/>
          </w:tcPr>
          <w:p w14:paraId="3F7C4A51" w14:textId="0314F603" w:rsidR="009B3289" w:rsidRDefault="009B3289" w:rsidP="00CA2C12">
            <w:pPr>
              <w:autoSpaceDE w:val="0"/>
              <w:autoSpaceDN w:val="0"/>
              <w:adjustRightInd w:val="0"/>
              <w:spacing w:after="120"/>
              <w:rPr>
                <w:b/>
                <w:sz w:val="22"/>
                <w:szCs w:val="22"/>
              </w:rPr>
            </w:pPr>
            <w:r>
              <w:rPr>
                <w:b/>
                <w:sz w:val="22"/>
                <w:szCs w:val="22"/>
              </w:rPr>
              <w:t>25</w:t>
            </w:r>
            <w:r w:rsidRPr="0092377E">
              <w:rPr>
                <w:b/>
                <w:sz w:val="22"/>
                <w:szCs w:val="22"/>
                <w:vertAlign w:val="superscript"/>
              </w:rPr>
              <w:t>th</w:t>
            </w:r>
            <w:r>
              <w:rPr>
                <w:b/>
                <w:sz w:val="22"/>
                <w:szCs w:val="22"/>
              </w:rPr>
              <w:t xml:space="preserve"> %</w:t>
            </w:r>
            <w:proofErr w:type="spellStart"/>
            <w:r>
              <w:rPr>
                <w:b/>
                <w:sz w:val="22"/>
                <w:szCs w:val="22"/>
              </w:rPr>
              <w:t>ile</w:t>
            </w:r>
            <w:proofErr w:type="spellEnd"/>
            <w:r>
              <w:rPr>
                <w:b/>
                <w:sz w:val="22"/>
                <w:szCs w:val="22"/>
              </w:rPr>
              <w:t xml:space="preserve"> Survival (days)</w:t>
            </w:r>
          </w:p>
        </w:tc>
        <w:tc>
          <w:tcPr>
            <w:tcW w:w="1350" w:type="dxa"/>
            <w:vAlign w:val="center"/>
          </w:tcPr>
          <w:p w14:paraId="1E3BE63C" w14:textId="7AC62C3A" w:rsidR="009B3289" w:rsidRPr="008D14F9" w:rsidRDefault="009B3289" w:rsidP="006F6B36">
            <w:pPr>
              <w:autoSpaceDE w:val="0"/>
              <w:autoSpaceDN w:val="0"/>
              <w:adjustRightInd w:val="0"/>
              <w:spacing w:after="120"/>
              <w:jc w:val="right"/>
              <w:rPr>
                <w:sz w:val="24"/>
                <w:szCs w:val="24"/>
              </w:rPr>
            </w:pPr>
            <w:r w:rsidRPr="008D14F9">
              <w:rPr>
                <w:sz w:val="24"/>
                <w:szCs w:val="24"/>
              </w:rPr>
              <w:t>NA</w:t>
            </w:r>
          </w:p>
        </w:tc>
        <w:tc>
          <w:tcPr>
            <w:tcW w:w="1440" w:type="dxa"/>
            <w:vAlign w:val="center"/>
          </w:tcPr>
          <w:p w14:paraId="7AFC5958" w14:textId="1F9B9D17" w:rsidR="009B3289" w:rsidRPr="008D14F9" w:rsidRDefault="009B3289" w:rsidP="006F6B36">
            <w:pPr>
              <w:autoSpaceDE w:val="0"/>
              <w:autoSpaceDN w:val="0"/>
              <w:adjustRightInd w:val="0"/>
              <w:spacing w:after="120"/>
              <w:jc w:val="right"/>
              <w:rPr>
                <w:sz w:val="24"/>
                <w:szCs w:val="24"/>
              </w:rPr>
            </w:pPr>
            <w:r w:rsidRPr="008D14F9">
              <w:rPr>
                <w:sz w:val="24"/>
                <w:szCs w:val="24"/>
              </w:rPr>
              <w:t>2,689</w:t>
            </w:r>
          </w:p>
        </w:tc>
        <w:tc>
          <w:tcPr>
            <w:tcW w:w="1350" w:type="dxa"/>
            <w:vAlign w:val="center"/>
          </w:tcPr>
          <w:p w14:paraId="3DFC8519" w14:textId="2FE6441D" w:rsidR="009B3289" w:rsidRPr="008D14F9" w:rsidRDefault="009B3289" w:rsidP="006F6B36">
            <w:pPr>
              <w:autoSpaceDE w:val="0"/>
              <w:autoSpaceDN w:val="0"/>
              <w:adjustRightInd w:val="0"/>
              <w:spacing w:after="120"/>
              <w:jc w:val="right"/>
              <w:rPr>
                <w:sz w:val="24"/>
                <w:szCs w:val="24"/>
              </w:rPr>
            </w:pPr>
            <w:r w:rsidRPr="008D14F9">
              <w:rPr>
                <w:sz w:val="24"/>
                <w:szCs w:val="24"/>
              </w:rPr>
              <w:t>999</w:t>
            </w:r>
          </w:p>
        </w:tc>
        <w:tc>
          <w:tcPr>
            <w:tcW w:w="1350" w:type="dxa"/>
            <w:vAlign w:val="center"/>
          </w:tcPr>
          <w:p w14:paraId="1B8ADAF0" w14:textId="2FCFCE53" w:rsidR="009B3289" w:rsidRPr="008D14F9" w:rsidRDefault="009B3289" w:rsidP="006F6B36">
            <w:pPr>
              <w:autoSpaceDE w:val="0"/>
              <w:autoSpaceDN w:val="0"/>
              <w:adjustRightInd w:val="0"/>
              <w:spacing w:after="120"/>
              <w:jc w:val="right"/>
              <w:rPr>
                <w:sz w:val="24"/>
                <w:szCs w:val="24"/>
              </w:rPr>
            </w:pPr>
            <w:r w:rsidRPr="008D14F9">
              <w:rPr>
                <w:sz w:val="24"/>
                <w:szCs w:val="24"/>
              </w:rPr>
              <w:t>980</w:t>
            </w:r>
          </w:p>
        </w:tc>
        <w:tc>
          <w:tcPr>
            <w:tcW w:w="1260" w:type="dxa"/>
            <w:vAlign w:val="center"/>
          </w:tcPr>
          <w:p w14:paraId="38FDEE46" w14:textId="522B0C0F" w:rsidR="009B3289" w:rsidRPr="008D14F9" w:rsidRDefault="009B3289" w:rsidP="006F6B36">
            <w:pPr>
              <w:autoSpaceDE w:val="0"/>
              <w:autoSpaceDN w:val="0"/>
              <w:adjustRightInd w:val="0"/>
              <w:spacing w:after="120"/>
              <w:jc w:val="right"/>
              <w:rPr>
                <w:sz w:val="24"/>
                <w:szCs w:val="24"/>
              </w:rPr>
            </w:pPr>
            <w:r w:rsidRPr="008D14F9">
              <w:rPr>
                <w:sz w:val="24"/>
                <w:szCs w:val="24"/>
              </w:rPr>
              <w:t>174</w:t>
            </w:r>
          </w:p>
        </w:tc>
        <w:tc>
          <w:tcPr>
            <w:tcW w:w="2070" w:type="dxa"/>
            <w:vAlign w:val="center"/>
          </w:tcPr>
          <w:p w14:paraId="00AAB90B" w14:textId="587A8758" w:rsidR="009B3289" w:rsidRPr="008D14F9" w:rsidRDefault="009B3289" w:rsidP="006F6B36">
            <w:pPr>
              <w:autoSpaceDE w:val="0"/>
              <w:autoSpaceDN w:val="0"/>
              <w:adjustRightInd w:val="0"/>
              <w:spacing w:after="120"/>
              <w:jc w:val="right"/>
              <w:rPr>
                <w:sz w:val="24"/>
                <w:szCs w:val="24"/>
              </w:rPr>
            </w:pPr>
            <w:r w:rsidRPr="008D14F9">
              <w:rPr>
                <w:sz w:val="24"/>
                <w:szCs w:val="24"/>
              </w:rPr>
              <w:t>1487</w:t>
            </w:r>
          </w:p>
        </w:tc>
      </w:tr>
    </w:tbl>
    <w:p w14:paraId="4CBABCD8" w14:textId="05FAEBAC" w:rsidR="00421B31" w:rsidRDefault="00421B31" w:rsidP="00CA2C12">
      <w:pPr>
        <w:autoSpaceDE w:val="0"/>
        <w:autoSpaceDN w:val="0"/>
        <w:adjustRightInd w:val="0"/>
        <w:spacing w:after="120"/>
        <w:rPr>
          <w:b/>
          <w:sz w:val="22"/>
          <w:szCs w:val="22"/>
        </w:rPr>
      </w:pPr>
    </w:p>
    <w:p w14:paraId="2237005C" w14:textId="77777777" w:rsidR="008D14F9" w:rsidRPr="00CA2C12" w:rsidRDefault="008D14F9" w:rsidP="00CA2C12">
      <w:pPr>
        <w:autoSpaceDE w:val="0"/>
        <w:autoSpaceDN w:val="0"/>
        <w:adjustRightInd w:val="0"/>
        <w:spacing w:after="120"/>
        <w:rPr>
          <w:b/>
          <w:sz w:val="22"/>
          <w:szCs w:val="22"/>
        </w:rPr>
      </w:pPr>
    </w:p>
    <w:p w14:paraId="725B48B2" w14:textId="77777777" w:rsidR="002777EC" w:rsidRDefault="004D7832" w:rsidP="00F538AE">
      <w:pPr>
        <w:numPr>
          <w:ilvl w:val="0"/>
          <w:numId w:val="19"/>
        </w:numPr>
        <w:autoSpaceDE w:val="0"/>
        <w:autoSpaceDN w:val="0"/>
        <w:adjustRightInd w:val="0"/>
        <w:spacing w:after="120"/>
        <w:rPr>
          <w:sz w:val="22"/>
          <w:szCs w:val="22"/>
        </w:rPr>
      </w:pPr>
      <w:r>
        <w:rPr>
          <w:sz w:val="22"/>
          <w:szCs w:val="22"/>
        </w:rPr>
        <w:t xml:space="preserve">In prior </w:t>
      </w:r>
      <w:proofErr w:type="spellStart"/>
      <w:r>
        <w:rPr>
          <w:sz w:val="22"/>
          <w:szCs w:val="22"/>
        </w:rPr>
        <w:t>homeworks</w:t>
      </w:r>
      <w:proofErr w:type="spellEnd"/>
      <w:r>
        <w:rPr>
          <w:sz w:val="22"/>
          <w:szCs w:val="22"/>
        </w:rPr>
        <w:t xml:space="preserve">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14:paraId="3D8E62A0" w14:textId="466B49C9" w:rsidR="000B335E" w:rsidRPr="000B335E" w:rsidRDefault="000B335E" w:rsidP="000B335E">
      <w:pPr>
        <w:autoSpaceDE w:val="0"/>
        <w:autoSpaceDN w:val="0"/>
        <w:adjustRightInd w:val="0"/>
        <w:spacing w:after="120"/>
        <w:ind w:left="720"/>
        <w:rPr>
          <w:sz w:val="22"/>
          <w:szCs w:val="22"/>
        </w:rPr>
      </w:pPr>
      <w:commentRangeStart w:id="5"/>
      <w:r>
        <w:rPr>
          <w:b/>
          <w:sz w:val="22"/>
          <w:szCs w:val="22"/>
        </w:rPr>
        <w:t>Answer</w:t>
      </w:r>
      <w:commentRangeEnd w:id="5"/>
      <w:r w:rsidR="00C4146A">
        <w:rPr>
          <w:rStyle w:val="CommentReference"/>
        </w:rPr>
        <w:commentReference w:id="5"/>
      </w:r>
      <w:r>
        <w:rPr>
          <w:b/>
          <w:sz w:val="22"/>
          <w:szCs w:val="22"/>
        </w:rPr>
        <w:t xml:space="preserve">: </w:t>
      </w:r>
      <w:r>
        <w:rPr>
          <w:sz w:val="22"/>
          <w:szCs w:val="22"/>
        </w:rPr>
        <w:t xml:space="preserve">In previous </w:t>
      </w:r>
      <w:proofErr w:type="spellStart"/>
      <w:r>
        <w:rPr>
          <w:sz w:val="22"/>
          <w:szCs w:val="22"/>
        </w:rPr>
        <w:t>homeworks</w:t>
      </w:r>
      <w:proofErr w:type="spellEnd"/>
      <w:r>
        <w:rPr>
          <w:sz w:val="22"/>
          <w:szCs w:val="22"/>
        </w:rPr>
        <w:t xml:space="preserve">, we were often working with saturated or near-saturated models, i.e. our model had the same number of parameters as </w:t>
      </w:r>
      <w:r w:rsidR="00F87AB5">
        <w:rPr>
          <w:sz w:val="22"/>
          <w:szCs w:val="22"/>
        </w:rPr>
        <w:t>distinct groups</w:t>
      </w:r>
      <w:r>
        <w:rPr>
          <w:sz w:val="22"/>
          <w:szCs w:val="22"/>
        </w:rPr>
        <w:t xml:space="preserve"> and thus we could rest assured that the model was a good fit. In this data set, there are many more variables and </w:t>
      </w:r>
      <w:r w:rsidR="000C17ED">
        <w:rPr>
          <w:sz w:val="22"/>
          <w:szCs w:val="22"/>
        </w:rPr>
        <w:t xml:space="preserve">these are slightly less biologically clear-cut. Many of the variables are surrogates of ill-defined phenomena (e.g. </w:t>
      </w:r>
      <w:proofErr w:type="spellStart"/>
      <w:r w:rsidR="000C17ED">
        <w:rPr>
          <w:sz w:val="22"/>
          <w:szCs w:val="22"/>
        </w:rPr>
        <w:t>alkphos</w:t>
      </w:r>
      <w:proofErr w:type="spellEnd"/>
      <w:r w:rsidR="000C17ED">
        <w:rPr>
          <w:sz w:val="22"/>
          <w:szCs w:val="22"/>
        </w:rPr>
        <w:t xml:space="preserve"> levels for liver health or serum bilirubin for liver function), and as such will have more variance and might be interacting with our data in more complicated ways. The fact that the overall rate of death is ~40% also means that there will tend to be relatively high variance in our response variable. Since logistic regression is modeling the odds ratio, having a p close to 0.5 (and thus a censoring rate close to 0.5) will be problematic for logistic regression.</w:t>
      </w:r>
    </w:p>
    <w:p w14:paraId="3300BE8A" w14:textId="77777777" w:rsidR="00A459C8" w:rsidRDefault="00C55091"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w:t>
      </w:r>
      <w:r w:rsidR="002777EC">
        <w:rPr>
          <w:sz w:val="22"/>
          <w:szCs w:val="22"/>
        </w:rPr>
        <w:t>bilirubin</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w:t>
      </w:r>
      <w:r w:rsidR="002777EC">
        <w:rPr>
          <w:sz w:val="22"/>
          <w:szCs w:val="22"/>
        </w:rPr>
        <w:t>bilirubin</w:t>
      </w:r>
      <w:r w:rsidR="00B457A7" w:rsidRPr="009D5804">
        <w:rPr>
          <w:sz w:val="22"/>
          <w:szCs w:val="22"/>
        </w:rPr>
        <w:t xml:space="preserve"> </w:t>
      </w:r>
      <w:r w:rsidR="00F538AE">
        <w:rPr>
          <w:sz w:val="22"/>
          <w:szCs w:val="22"/>
        </w:rPr>
        <w:t xml:space="preserve">modeled as a continuous variable. </w:t>
      </w:r>
    </w:p>
    <w:p w14:paraId="3E9A80EF" w14:textId="77777777" w:rsidR="00A459C8" w:rsidRDefault="00F538AE" w:rsidP="002777EC">
      <w:pPr>
        <w:numPr>
          <w:ilvl w:val="1"/>
          <w:numId w:val="19"/>
        </w:numPr>
        <w:autoSpaceDE w:val="0"/>
        <w:autoSpaceDN w:val="0"/>
        <w:adjustRightInd w:val="0"/>
        <w:spacing w:after="120"/>
        <w:rPr>
          <w:sz w:val="22"/>
          <w:szCs w:val="22"/>
        </w:rPr>
      </w:pPr>
      <w:r>
        <w:rPr>
          <w:sz w:val="22"/>
          <w:szCs w:val="22"/>
        </w:rPr>
        <w:t xml:space="preserve">Include </w:t>
      </w:r>
      <w:r w:rsidR="002777EC">
        <w:rPr>
          <w:sz w:val="22"/>
          <w:szCs w:val="22"/>
        </w:rPr>
        <w:t>a</w:t>
      </w:r>
      <w:r>
        <w:rPr>
          <w:sz w:val="22"/>
          <w:szCs w:val="22"/>
        </w:rPr>
        <w:t xml:space="preserve"> </w:t>
      </w:r>
      <w:r w:rsidR="00A620A3">
        <w:rPr>
          <w:sz w:val="22"/>
          <w:szCs w:val="22"/>
        </w:rPr>
        <w:t xml:space="preserve">full report of your </w:t>
      </w:r>
      <w:r w:rsidR="002777EC">
        <w:rPr>
          <w:sz w:val="22"/>
          <w:szCs w:val="22"/>
        </w:rPr>
        <w:t>inference about the association</w:t>
      </w:r>
      <w:r>
        <w:rPr>
          <w:sz w:val="22"/>
          <w:szCs w:val="22"/>
        </w:rPr>
        <w:t>.</w:t>
      </w:r>
    </w:p>
    <w:p w14:paraId="062FDB10" w14:textId="3A99A0A7" w:rsidR="00D065E9" w:rsidRDefault="00D065E9" w:rsidP="00D065E9">
      <w:pPr>
        <w:autoSpaceDE w:val="0"/>
        <w:autoSpaceDN w:val="0"/>
        <w:adjustRightInd w:val="0"/>
        <w:spacing w:after="120"/>
        <w:rPr>
          <w:sz w:val="22"/>
          <w:szCs w:val="22"/>
        </w:rPr>
      </w:pPr>
      <w:commentRangeStart w:id="6"/>
      <w:r>
        <w:rPr>
          <w:b/>
          <w:sz w:val="22"/>
          <w:szCs w:val="22"/>
        </w:rPr>
        <w:t>Methods</w:t>
      </w:r>
      <w:commentRangeEnd w:id="6"/>
      <w:r w:rsidR="00B9557F">
        <w:rPr>
          <w:rStyle w:val="CommentReference"/>
        </w:rPr>
        <w:commentReference w:id="6"/>
      </w:r>
      <w:r>
        <w:rPr>
          <w:b/>
          <w:sz w:val="22"/>
          <w:szCs w:val="22"/>
        </w:rPr>
        <w:t xml:space="preserve">: </w:t>
      </w:r>
      <w:r>
        <w:rPr>
          <w:sz w:val="22"/>
          <w:szCs w:val="22"/>
        </w:rPr>
        <w:t xml:space="preserve"> As in question 1, the 312 subjects with complete data were analyzed in </w:t>
      </w:r>
      <w:r w:rsidR="0048600A">
        <w:rPr>
          <w:sz w:val="22"/>
          <w:szCs w:val="22"/>
        </w:rPr>
        <w:t>order to address whether there existed an association between serum bilirubin and all-cause mortality</w:t>
      </w:r>
      <w:r>
        <w:rPr>
          <w:sz w:val="22"/>
          <w:szCs w:val="22"/>
        </w:rPr>
        <w:t xml:space="preserve">. A cox proportional hazards model </w:t>
      </w:r>
      <w:r w:rsidR="00253D28">
        <w:rPr>
          <w:sz w:val="22"/>
          <w:szCs w:val="22"/>
        </w:rPr>
        <w:t xml:space="preserve">with </w:t>
      </w:r>
      <w:r w:rsidR="00843218">
        <w:rPr>
          <w:sz w:val="22"/>
          <w:szCs w:val="22"/>
        </w:rPr>
        <w:t>Huber-White sandwich estimator (</w:t>
      </w:r>
      <w:r w:rsidR="00253D28">
        <w:rPr>
          <w:sz w:val="22"/>
          <w:szCs w:val="22"/>
        </w:rPr>
        <w:t>robust standard error</w:t>
      </w:r>
      <w:r w:rsidR="00843218">
        <w:rPr>
          <w:sz w:val="22"/>
          <w:szCs w:val="22"/>
        </w:rPr>
        <w:t>)</w:t>
      </w:r>
      <w:r w:rsidR="00253D28">
        <w:rPr>
          <w:sz w:val="22"/>
          <w:szCs w:val="22"/>
        </w:rPr>
        <w:t xml:space="preserve"> </w:t>
      </w:r>
      <w:r>
        <w:rPr>
          <w:sz w:val="22"/>
          <w:szCs w:val="22"/>
        </w:rPr>
        <w:t>was applied with death as the response variable and the predictor of interest bein</w:t>
      </w:r>
      <w:r w:rsidR="00253D28">
        <w:rPr>
          <w:sz w:val="22"/>
          <w:szCs w:val="22"/>
        </w:rPr>
        <w:t xml:space="preserve">g untransformed serum bilirubin. The z statistic </w:t>
      </w:r>
      <w:r w:rsidR="000E0604">
        <w:rPr>
          <w:sz w:val="22"/>
          <w:szCs w:val="22"/>
        </w:rPr>
        <w:t xml:space="preserve">(Wald test) </w:t>
      </w:r>
      <w:r w:rsidR="00253D28">
        <w:rPr>
          <w:sz w:val="22"/>
          <w:szCs w:val="22"/>
        </w:rPr>
        <w:t>was used to calculate a p-</w:t>
      </w:r>
      <w:r w:rsidR="00843218">
        <w:rPr>
          <w:sz w:val="22"/>
          <w:szCs w:val="22"/>
        </w:rPr>
        <w:t>value with a threshold of 0.05,</w:t>
      </w:r>
      <w:r w:rsidR="00253D28">
        <w:rPr>
          <w:sz w:val="22"/>
          <w:szCs w:val="22"/>
        </w:rPr>
        <w:t xml:space="preserve"> and Wald based confidence intervals were used to calculate the 95% CI.</w:t>
      </w:r>
    </w:p>
    <w:p w14:paraId="07C0F6CD" w14:textId="5BB03026" w:rsidR="00843218" w:rsidRPr="00843218" w:rsidRDefault="00843218" w:rsidP="00D065E9">
      <w:pPr>
        <w:autoSpaceDE w:val="0"/>
        <w:autoSpaceDN w:val="0"/>
        <w:adjustRightInd w:val="0"/>
        <w:spacing w:after="120"/>
        <w:rPr>
          <w:sz w:val="22"/>
          <w:szCs w:val="22"/>
        </w:rPr>
      </w:pPr>
      <w:r>
        <w:rPr>
          <w:b/>
          <w:sz w:val="22"/>
          <w:szCs w:val="22"/>
        </w:rPr>
        <w:t xml:space="preserve">Results: </w:t>
      </w:r>
      <w:r w:rsidR="000263FF">
        <w:rPr>
          <w:sz w:val="22"/>
          <w:szCs w:val="22"/>
        </w:rPr>
        <w:t xml:space="preserve">Of the 312 subjects included in this analysis, </w:t>
      </w:r>
      <w:r w:rsidR="00493969">
        <w:rPr>
          <w:sz w:val="22"/>
          <w:szCs w:val="22"/>
        </w:rPr>
        <w:t xml:space="preserve">125 were observed to die in the study period. From the Cox proportional hazards regression model, subjects had a </w:t>
      </w:r>
      <w:r w:rsidR="00624CB6">
        <w:rPr>
          <w:sz w:val="22"/>
          <w:szCs w:val="22"/>
        </w:rPr>
        <w:t xml:space="preserve">relative </w:t>
      </w:r>
      <w:r w:rsidR="00493969">
        <w:rPr>
          <w:sz w:val="22"/>
          <w:szCs w:val="22"/>
        </w:rPr>
        <w:t>16.1% greater (hazard ratio = 1.161) instantaneous risk of dying for every increase of 1 mg/</w:t>
      </w:r>
      <w:proofErr w:type="spellStart"/>
      <w:r w:rsidR="00493969">
        <w:rPr>
          <w:sz w:val="22"/>
          <w:szCs w:val="22"/>
        </w:rPr>
        <w:t>dL</w:t>
      </w:r>
      <w:proofErr w:type="spellEnd"/>
      <w:r w:rsidR="00493969">
        <w:rPr>
          <w:sz w:val="22"/>
          <w:szCs w:val="22"/>
        </w:rPr>
        <w:t xml:space="preserve"> in serum bilirubin. This observation would not be atypical if the true increased risk of death was between 12.6% and 19.6% higher (</w:t>
      </w:r>
      <w:r w:rsidR="0048600A">
        <w:rPr>
          <w:sz w:val="22"/>
          <w:szCs w:val="22"/>
        </w:rPr>
        <w:t xml:space="preserve">95% CI </w:t>
      </w:r>
      <w:r w:rsidR="00493969">
        <w:rPr>
          <w:sz w:val="22"/>
          <w:szCs w:val="22"/>
        </w:rPr>
        <w:t>hazard ratio 1.126 – 1.196) for every 1 mg/</w:t>
      </w:r>
      <w:proofErr w:type="spellStart"/>
      <w:r w:rsidR="00493969">
        <w:rPr>
          <w:sz w:val="22"/>
          <w:szCs w:val="22"/>
        </w:rPr>
        <w:t>dL</w:t>
      </w:r>
      <w:proofErr w:type="spellEnd"/>
      <w:r w:rsidR="00493969">
        <w:rPr>
          <w:sz w:val="22"/>
          <w:szCs w:val="22"/>
        </w:rPr>
        <w:t xml:space="preserve"> increase </w:t>
      </w:r>
      <w:r w:rsidR="000E0604">
        <w:rPr>
          <w:sz w:val="22"/>
          <w:szCs w:val="22"/>
        </w:rPr>
        <w:t>in</w:t>
      </w:r>
      <w:r w:rsidR="00493969">
        <w:rPr>
          <w:sz w:val="22"/>
          <w:szCs w:val="22"/>
        </w:rPr>
        <w:t xml:space="preserve"> serum bilirubin.</w:t>
      </w:r>
      <w:r w:rsidR="004F3B5F">
        <w:rPr>
          <w:sz w:val="22"/>
          <w:szCs w:val="22"/>
        </w:rPr>
        <w:t xml:space="preserve"> Based on the two-sided p-value &lt;0.001, we can reject the null hypothesis that the</w:t>
      </w:r>
      <w:r w:rsidR="000E0604">
        <w:rPr>
          <w:sz w:val="22"/>
          <w:szCs w:val="22"/>
        </w:rPr>
        <w:t>re is no association between serum bilirubin levels and instantaneous risk of</w:t>
      </w:r>
      <w:r w:rsidR="004F3B5F">
        <w:rPr>
          <w:sz w:val="22"/>
          <w:szCs w:val="22"/>
        </w:rPr>
        <w:t xml:space="preserve"> </w:t>
      </w:r>
      <w:r w:rsidR="000E0604">
        <w:rPr>
          <w:sz w:val="22"/>
          <w:szCs w:val="22"/>
        </w:rPr>
        <w:t xml:space="preserve">death (that the </w:t>
      </w:r>
      <w:r w:rsidR="004F3B5F">
        <w:rPr>
          <w:sz w:val="22"/>
          <w:szCs w:val="22"/>
        </w:rPr>
        <w:t>hazard ratio was constant across serum bilirubin levels</w:t>
      </w:r>
      <w:r w:rsidR="000E0604">
        <w:rPr>
          <w:sz w:val="22"/>
          <w:szCs w:val="22"/>
        </w:rPr>
        <w:t>), and we can say that the hazard ratio tends to increase for increasing serum bilirubin</w:t>
      </w:r>
      <w:r w:rsidR="004F3B5F">
        <w:rPr>
          <w:sz w:val="22"/>
          <w:szCs w:val="22"/>
        </w:rPr>
        <w:t>.</w:t>
      </w:r>
    </w:p>
    <w:p w14:paraId="485131A2" w14:textId="77777777" w:rsidR="00A459C8" w:rsidRDefault="00A459C8"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 a group having serum </w:t>
      </w:r>
      <w:r w:rsidR="002777EC">
        <w:rPr>
          <w:sz w:val="22"/>
          <w:szCs w:val="22"/>
        </w:rPr>
        <w:t>bilirubin of 1</w:t>
      </w:r>
      <w:r>
        <w:rPr>
          <w:sz w:val="22"/>
          <w:szCs w:val="22"/>
        </w:rPr>
        <w:t xml:space="preserve"> mg/</w:t>
      </w:r>
      <w:proofErr w:type="spellStart"/>
      <w:r>
        <w:rPr>
          <w:sz w:val="22"/>
          <w:szCs w:val="22"/>
        </w:rPr>
        <w:t>dL</w:t>
      </w:r>
      <w:proofErr w:type="spellEnd"/>
      <w:r>
        <w:rPr>
          <w:sz w:val="22"/>
          <w:szCs w:val="22"/>
        </w:rPr>
        <w:t xml:space="preserve">. </w:t>
      </w:r>
      <w:r w:rsidR="00E01E38">
        <w:rPr>
          <w:sz w:val="22"/>
          <w:szCs w:val="22"/>
        </w:rPr>
        <w:t>(This will be used in problem 6</w:t>
      </w:r>
      <w:r w:rsidR="00A620A3">
        <w:rPr>
          <w:sz w:val="22"/>
          <w:szCs w:val="22"/>
        </w:rPr>
        <w:t xml:space="preserve">).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6DE9E166" w14:textId="77777777" w:rsidR="00A620A3" w:rsidRDefault="00A459C8" w:rsidP="002777EC">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2777EC">
        <w:rPr>
          <w:rFonts w:ascii="Courier New" w:hAnsi="Courier New" w:cs="Courier New"/>
          <w:i/>
          <w:iCs/>
          <w:sz w:val="22"/>
          <w:szCs w:val="22"/>
        </w:rPr>
        <w:t>bili</w:t>
      </w:r>
      <w:proofErr w:type="spellEnd"/>
      <w:r w:rsidR="002777EC">
        <w:rPr>
          <w:rFonts w:ascii="Courier New" w:hAnsi="Courier New" w:cs="Courier New"/>
          <w:sz w:val="22"/>
          <w:szCs w:val="22"/>
        </w:rPr>
        <w:t xml:space="preserve"> – 1</w:t>
      </w:r>
      <w:r w:rsidR="00A620A3">
        <w:rPr>
          <w:rFonts w:ascii="Courier New" w:hAnsi="Courier New" w:cs="Courier New"/>
          <w:sz w:val="22"/>
          <w:szCs w:val="22"/>
        </w:rPr>
        <w:t>)</w:t>
      </w:r>
    </w:p>
    <w:p w14:paraId="4079062F" w14:textId="77777777" w:rsidR="00A620A3" w:rsidRDefault="00A620A3" w:rsidP="002777EC">
      <w:pPr>
        <w:autoSpaceDE w:val="0"/>
        <w:autoSpaceDN w:val="0"/>
        <w:adjustRightInd w:val="0"/>
        <w:spacing w:after="120"/>
        <w:ind w:left="1440"/>
        <w:rPr>
          <w:sz w:val="22"/>
          <w:szCs w:val="22"/>
        </w:rPr>
      </w:pPr>
      <w:r>
        <w:rPr>
          <w:sz w:val="22"/>
          <w:szCs w:val="22"/>
        </w:rPr>
        <w:lastRenderedPageBreak/>
        <w:t xml:space="preserve">It could also be computed by creating a centered </w:t>
      </w:r>
      <w:r w:rsidR="002777EC">
        <w:rPr>
          <w:sz w:val="22"/>
          <w:szCs w:val="22"/>
        </w:rPr>
        <w:t>bilirubin</w:t>
      </w:r>
      <w:r>
        <w:rPr>
          <w:sz w:val="22"/>
          <w:szCs w:val="22"/>
        </w:rPr>
        <w:t xml:space="preserve"> variable, and then using the Stata </w:t>
      </w:r>
      <w:r>
        <w:rPr>
          <w:rFonts w:ascii="Courier New" w:hAnsi="Courier New" w:cs="Courier New"/>
          <w:sz w:val="22"/>
          <w:szCs w:val="22"/>
        </w:rPr>
        <w:t>predict</w:t>
      </w:r>
      <w:r>
        <w:rPr>
          <w:sz w:val="22"/>
          <w:szCs w:val="22"/>
        </w:rPr>
        <w:t xml:space="preserve"> command</w:t>
      </w:r>
    </w:p>
    <w:p w14:paraId="7DEF03ED" w14:textId="77777777" w:rsidR="00A620A3" w:rsidRDefault="00A620A3" w:rsidP="002777EC">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sidR="002777EC">
        <w:rPr>
          <w:rFonts w:ascii="Courier New" w:hAnsi="Courier New" w:cs="Courier New"/>
          <w:sz w:val="22"/>
          <w:szCs w:val="22"/>
        </w:rPr>
        <w:t>gen</w:t>
      </w:r>
      <w:proofErr w:type="gramEnd"/>
      <w:r w:rsidR="002777EC">
        <w:rPr>
          <w:rFonts w:ascii="Courier New" w:hAnsi="Courier New" w:cs="Courier New"/>
          <w:sz w:val="22"/>
          <w:szCs w:val="22"/>
        </w:rPr>
        <w:t xml:space="preserve"> </w:t>
      </w:r>
      <w:proofErr w:type="spellStart"/>
      <w:r w:rsidR="002777EC">
        <w:rPr>
          <w:rFonts w:ascii="Courier New" w:hAnsi="Courier New" w:cs="Courier New"/>
          <w:sz w:val="22"/>
          <w:szCs w:val="22"/>
        </w:rPr>
        <w:t>cbili</w:t>
      </w:r>
      <w:proofErr w:type="spellEnd"/>
      <w:r>
        <w:rPr>
          <w:rFonts w:ascii="Courier New" w:hAnsi="Courier New" w:cs="Courier New"/>
          <w:sz w:val="22"/>
          <w:szCs w:val="22"/>
        </w:rPr>
        <w:t xml:space="preserve"> = </w:t>
      </w:r>
      <w:proofErr w:type="spellStart"/>
      <w:r w:rsidR="002777EC">
        <w:rPr>
          <w:rFonts w:ascii="Courier New" w:hAnsi="Courier New" w:cs="Courier New"/>
          <w:sz w:val="22"/>
          <w:szCs w:val="22"/>
        </w:rPr>
        <w:t>bili</w:t>
      </w:r>
      <w:proofErr w:type="spellEnd"/>
      <w:r w:rsidR="002777EC">
        <w:rPr>
          <w:rFonts w:ascii="Courier New" w:hAnsi="Courier New" w:cs="Courier New"/>
          <w:sz w:val="22"/>
          <w:szCs w:val="22"/>
        </w:rPr>
        <w:t xml:space="preserve"> – 1</w:t>
      </w:r>
    </w:p>
    <w:p w14:paraId="5576868B" w14:textId="77777777" w:rsidR="00A620A3" w:rsidRDefault="002777EC"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cbili</w:t>
      </w:r>
      <w:proofErr w:type="spellEnd"/>
    </w:p>
    <w:p w14:paraId="3F146E9E" w14:textId="77777777" w:rsidR="00125DD5" w:rsidRPr="009D5804" w:rsidRDefault="00A620A3"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sidR="00A459C8">
        <w:rPr>
          <w:rFonts w:ascii="Courier New" w:hAnsi="Courier New" w:cs="Courier New"/>
          <w:sz w:val="22"/>
          <w:szCs w:val="22"/>
        </w:rPr>
        <w:t xml:space="preserve"> </w:t>
      </w:r>
      <w:r w:rsidR="00BF5CB8">
        <w:rPr>
          <w:sz w:val="22"/>
          <w:szCs w:val="22"/>
        </w:rPr>
        <w:t xml:space="preserve"> </w:t>
      </w:r>
    </w:p>
    <w:p w14:paraId="0DE4815D" w14:textId="77777777" w:rsidR="00A620A3" w:rsidRDefault="00A620A3"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w:t>
      </w:r>
      <w:r w:rsidR="002777EC">
        <w:rPr>
          <w:sz w:val="22"/>
          <w:szCs w:val="22"/>
        </w:rPr>
        <w:t>bilirubin</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w:t>
      </w:r>
      <w:r w:rsidR="002777EC">
        <w:rPr>
          <w:sz w:val="22"/>
          <w:szCs w:val="22"/>
        </w:rPr>
        <w:t>bilirubin</w:t>
      </w:r>
      <w:r w:rsidRPr="009D5804">
        <w:rPr>
          <w:sz w:val="22"/>
          <w:szCs w:val="22"/>
        </w:rPr>
        <w:t xml:space="preserve">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124377B9" w14:textId="77777777" w:rsidR="00E01E38" w:rsidRPr="000E0604" w:rsidRDefault="00E01E38" w:rsidP="002777EC">
      <w:pPr>
        <w:numPr>
          <w:ilvl w:val="1"/>
          <w:numId w:val="19"/>
        </w:numPr>
        <w:autoSpaceDE w:val="0"/>
        <w:autoSpaceDN w:val="0"/>
        <w:adjustRightInd w:val="0"/>
        <w:spacing w:after="120"/>
        <w:rPr>
          <w:sz w:val="22"/>
          <w:szCs w:val="22"/>
        </w:rPr>
      </w:pPr>
      <w:r>
        <w:rPr>
          <w:sz w:val="22"/>
          <w:szCs w:val="22"/>
        </w:rPr>
        <w:t xml:space="preserve">Why might this analysis be preferred </w:t>
      </w:r>
      <w:r>
        <w:rPr>
          <w:i/>
          <w:iCs/>
          <w:sz w:val="22"/>
          <w:szCs w:val="22"/>
        </w:rPr>
        <w:t>a priori?</w:t>
      </w:r>
    </w:p>
    <w:p w14:paraId="39040A94" w14:textId="7E72AFF8" w:rsidR="000E0604" w:rsidRPr="000E0604" w:rsidRDefault="000E0604" w:rsidP="000E0604">
      <w:pPr>
        <w:autoSpaceDE w:val="0"/>
        <w:autoSpaceDN w:val="0"/>
        <w:adjustRightInd w:val="0"/>
        <w:spacing w:after="120"/>
        <w:rPr>
          <w:sz w:val="22"/>
          <w:szCs w:val="22"/>
        </w:rPr>
      </w:pPr>
      <w:commentRangeStart w:id="7"/>
      <w:r>
        <w:rPr>
          <w:b/>
          <w:iCs/>
          <w:sz w:val="22"/>
          <w:szCs w:val="22"/>
        </w:rPr>
        <w:t>Answer</w:t>
      </w:r>
      <w:commentRangeEnd w:id="7"/>
      <w:r w:rsidR="00336E1C">
        <w:rPr>
          <w:rStyle w:val="CommentReference"/>
        </w:rPr>
        <w:commentReference w:id="7"/>
      </w:r>
      <w:r>
        <w:rPr>
          <w:b/>
          <w:iCs/>
          <w:sz w:val="22"/>
          <w:szCs w:val="22"/>
        </w:rPr>
        <w:t xml:space="preserve">: </w:t>
      </w:r>
      <w:r>
        <w:rPr>
          <w:iCs/>
          <w:sz w:val="22"/>
          <w:szCs w:val="22"/>
        </w:rPr>
        <w:t>Serum bilirubin is a biomarker of liver function a</w:t>
      </w:r>
      <w:r w:rsidR="00514C90">
        <w:rPr>
          <w:iCs/>
          <w:sz w:val="22"/>
          <w:szCs w:val="22"/>
        </w:rPr>
        <w:t>nd based on the mechanism of it</w:t>
      </w:r>
      <w:r>
        <w:rPr>
          <w:iCs/>
          <w:sz w:val="22"/>
          <w:szCs w:val="22"/>
        </w:rPr>
        <w:t>s accumulation, it seems as if it will be working on a multiplicative scale</w:t>
      </w:r>
      <w:r w:rsidR="00514C90">
        <w:rPr>
          <w:iCs/>
          <w:sz w:val="22"/>
          <w:szCs w:val="22"/>
        </w:rPr>
        <w:t>, i.e. with a little liver malfunction you might have low levels of serum bilirubin, but as you decrease liver function you can get large accumulations such that fold change, rather than absolute difference defines progression. Because of this, it is more natural to talk about a “doubling” of serum bilirubin as opposed to an absolute “1 mg/</w:t>
      </w:r>
      <w:proofErr w:type="spellStart"/>
      <w:r w:rsidR="00514C90">
        <w:rPr>
          <w:iCs/>
          <w:sz w:val="22"/>
          <w:szCs w:val="22"/>
        </w:rPr>
        <w:t>dL</w:t>
      </w:r>
      <w:proofErr w:type="spellEnd"/>
      <w:r w:rsidR="00514C90">
        <w:rPr>
          <w:iCs/>
          <w:sz w:val="22"/>
          <w:szCs w:val="22"/>
        </w:rPr>
        <w:t>” increase. In addition to this scientific reason, we will generally have more precision and be less worried about confounding after a log-transformation of our data.</w:t>
      </w:r>
    </w:p>
    <w:p w14:paraId="4154AAC1" w14:textId="77777777" w:rsidR="00A620A3" w:rsidRDefault="002777EC" w:rsidP="002777EC">
      <w:pPr>
        <w:numPr>
          <w:ilvl w:val="1"/>
          <w:numId w:val="19"/>
        </w:numPr>
        <w:autoSpaceDE w:val="0"/>
        <w:autoSpaceDN w:val="0"/>
        <w:adjustRightInd w:val="0"/>
        <w:spacing w:after="120"/>
        <w:rPr>
          <w:sz w:val="22"/>
          <w:szCs w:val="22"/>
        </w:rPr>
      </w:pPr>
      <w:r>
        <w:rPr>
          <w:sz w:val="22"/>
          <w:szCs w:val="22"/>
        </w:rPr>
        <w:t>Include a full report of your inference about the association.</w:t>
      </w:r>
    </w:p>
    <w:p w14:paraId="16D01F05" w14:textId="64B97A67" w:rsidR="00871347" w:rsidRDefault="00871347" w:rsidP="00871347">
      <w:pPr>
        <w:autoSpaceDE w:val="0"/>
        <w:autoSpaceDN w:val="0"/>
        <w:adjustRightInd w:val="0"/>
        <w:spacing w:after="120"/>
        <w:rPr>
          <w:sz w:val="22"/>
          <w:szCs w:val="22"/>
        </w:rPr>
      </w:pPr>
      <w:commentRangeStart w:id="8"/>
      <w:r>
        <w:rPr>
          <w:b/>
          <w:sz w:val="22"/>
          <w:szCs w:val="22"/>
        </w:rPr>
        <w:t>Methods</w:t>
      </w:r>
      <w:commentRangeEnd w:id="8"/>
      <w:r w:rsidR="00336E1C">
        <w:rPr>
          <w:rStyle w:val="CommentReference"/>
        </w:rPr>
        <w:commentReference w:id="8"/>
      </w:r>
      <w:r>
        <w:rPr>
          <w:b/>
          <w:sz w:val="22"/>
          <w:szCs w:val="22"/>
        </w:rPr>
        <w:t xml:space="preserve">: </w:t>
      </w:r>
      <w:r>
        <w:rPr>
          <w:sz w:val="22"/>
          <w:szCs w:val="22"/>
        </w:rPr>
        <w:t xml:space="preserve"> As in question 1, the 312 subjects with complete data were analyzed in order to address whether there existed an association between serum bilirubin and all-cause mortality. The serum bilirubin was first logarithmically transformed (base 2) and then a cox proportional hazards model with Huber-White sandwich estimator (robust standard error) was applied with death as the response variable and the predictor of interest being the log-transformed serum bilirubin. The z statistic </w:t>
      </w:r>
      <w:r w:rsidR="000E0604">
        <w:rPr>
          <w:sz w:val="22"/>
          <w:szCs w:val="22"/>
        </w:rPr>
        <w:t xml:space="preserve">(Wald test) </w:t>
      </w:r>
      <w:r>
        <w:rPr>
          <w:sz w:val="22"/>
          <w:szCs w:val="22"/>
        </w:rPr>
        <w:t>was used to calculate a p-value with a threshold of 0.05, and Wald based confidence intervals were used to calculate the 95% CI.</w:t>
      </w:r>
    </w:p>
    <w:p w14:paraId="0C93CC89" w14:textId="2AF34CE3" w:rsidR="00871347" w:rsidRDefault="00871347" w:rsidP="00871347">
      <w:pPr>
        <w:autoSpaceDE w:val="0"/>
        <w:autoSpaceDN w:val="0"/>
        <w:adjustRightInd w:val="0"/>
        <w:spacing w:after="120"/>
        <w:rPr>
          <w:sz w:val="22"/>
          <w:szCs w:val="22"/>
        </w:rPr>
      </w:pPr>
      <w:r>
        <w:rPr>
          <w:b/>
          <w:sz w:val="22"/>
          <w:szCs w:val="22"/>
        </w:rPr>
        <w:t xml:space="preserve">Results: </w:t>
      </w:r>
      <w:r>
        <w:rPr>
          <w:sz w:val="22"/>
          <w:szCs w:val="22"/>
        </w:rPr>
        <w:t xml:space="preserve">Of the 312 subjects included in this analysis, 125 were observed to die in the study period. From the Cox proportional hazards regression model, subjects had a hazard ratio of </w:t>
      </w:r>
      <w:r w:rsidR="000E0604">
        <w:rPr>
          <w:sz w:val="22"/>
          <w:szCs w:val="22"/>
        </w:rPr>
        <w:t xml:space="preserve">2.122 (i.e. a </w:t>
      </w:r>
      <w:r>
        <w:rPr>
          <w:sz w:val="22"/>
          <w:szCs w:val="22"/>
        </w:rPr>
        <w:t xml:space="preserve">relative </w:t>
      </w:r>
      <w:r w:rsidR="000E0604">
        <w:rPr>
          <w:sz w:val="22"/>
          <w:szCs w:val="22"/>
        </w:rPr>
        <w:t>112.2% greater</w:t>
      </w:r>
      <w:r>
        <w:rPr>
          <w:sz w:val="22"/>
          <w:szCs w:val="22"/>
        </w:rPr>
        <w:t xml:space="preserve"> instantaneous risk of dying</w:t>
      </w:r>
      <w:r w:rsidR="000E0604">
        <w:rPr>
          <w:sz w:val="22"/>
          <w:szCs w:val="22"/>
        </w:rPr>
        <w:t>)</w:t>
      </w:r>
      <w:r>
        <w:rPr>
          <w:sz w:val="22"/>
          <w:szCs w:val="22"/>
        </w:rPr>
        <w:t xml:space="preserve"> </w:t>
      </w:r>
      <w:r w:rsidR="000E0604">
        <w:rPr>
          <w:sz w:val="22"/>
          <w:szCs w:val="22"/>
        </w:rPr>
        <w:t>for each doubling of</w:t>
      </w:r>
      <w:r>
        <w:rPr>
          <w:sz w:val="22"/>
          <w:szCs w:val="22"/>
        </w:rPr>
        <w:t xml:space="preserve"> serum bilirubin. This observation wou</w:t>
      </w:r>
      <w:r w:rsidR="000E0604">
        <w:rPr>
          <w:sz w:val="22"/>
          <w:szCs w:val="22"/>
        </w:rPr>
        <w:t>ld not be atypical if the true hazard ratio</w:t>
      </w:r>
      <w:r>
        <w:rPr>
          <w:sz w:val="22"/>
          <w:szCs w:val="22"/>
        </w:rPr>
        <w:t xml:space="preserve"> was between </w:t>
      </w:r>
      <w:r w:rsidR="000E0604">
        <w:rPr>
          <w:sz w:val="22"/>
          <w:szCs w:val="22"/>
        </w:rPr>
        <w:t xml:space="preserve">1.881 and 2.393 </w:t>
      </w:r>
      <w:r>
        <w:rPr>
          <w:sz w:val="22"/>
          <w:szCs w:val="22"/>
        </w:rPr>
        <w:t xml:space="preserve">for every </w:t>
      </w:r>
      <w:r w:rsidR="000E0604">
        <w:rPr>
          <w:sz w:val="22"/>
          <w:szCs w:val="22"/>
        </w:rPr>
        <w:t>doubling</w:t>
      </w:r>
      <w:r>
        <w:rPr>
          <w:sz w:val="22"/>
          <w:szCs w:val="22"/>
        </w:rPr>
        <w:t xml:space="preserve"> </w:t>
      </w:r>
      <w:r w:rsidR="000E0604">
        <w:rPr>
          <w:sz w:val="22"/>
          <w:szCs w:val="22"/>
        </w:rPr>
        <w:t xml:space="preserve">in </w:t>
      </w:r>
      <w:r>
        <w:rPr>
          <w:sz w:val="22"/>
          <w:szCs w:val="22"/>
        </w:rPr>
        <w:t>serum bilirubin</w:t>
      </w:r>
      <w:r w:rsidR="000E0604">
        <w:rPr>
          <w:sz w:val="22"/>
          <w:szCs w:val="22"/>
        </w:rPr>
        <w:t xml:space="preserve"> (i.e. 95% CI is a relative 88.1% to 139.3% increase in instantaneous risk of death for each doubling of serum bilirubin)</w:t>
      </w:r>
      <w:r>
        <w:rPr>
          <w:sz w:val="22"/>
          <w:szCs w:val="22"/>
        </w:rPr>
        <w:t xml:space="preserve">. Based on the two-sided p-value &lt;0.001, </w:t>
      </w:r>
      <w:r w:rsidR="000E0604">
        <w:rPr>
          <w:sz w:val="22"/>
          <w:szCs w:val="22"/>
        </w:rPr>
        <w:t>we can reject the null hypothesis that there is no association between serum bilirubin levels and instantaneous risk of death (that the hazard ratio was constant across serum bilirubin levels), and we can say that the hazard ratio tends to increase for increasing serum bilirubin.</w:t>
      </w:r>
    </w:p>
    <w:p w14:paraId="682790F1" w14:textId="77777777" w:rsidR="00A620A3" w:rsidRDefault="00A620A3"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w:t>
      </w:r>
      <w:r w:rsidR="002777EC">
        <w:rPr>
          <w:sz w:val="22"/>
          <w:szCs w:val="22"/>
        </w:rPr>
        <w:t xml:space="preserve"> a group having serum LDL of 1</w:t>
      </w:r>
      <w:r>
        <w:rPr>
          <w:sz w:val="22"/>
          <w:szCs w:val="22"/>
        </w:rPr>
        <w:t xml:space="preserve"> mg/</w:t>
      </w:r>
      <w:proofErr w:type="spellStart"/>
      <w:r>
        <w:rPr>
          <w:sz w:val="22"/>
          <w:szCs w:val="22"/>
        </w:rPr>
        <w:t>dL</w:t>
      </w:r>
      <w:proofErr w:type="spellEnd"/>
      <w:r>
        <w:rPr>
          <w:sz w:val="22"/>
          <w:szCs w:val="22"/>
        </w:rPr>
        <w:t>.</w:t>
      </w:r>
      <w:r w:rsidR="00E01E38">
        <w:rPr>
          <w:sz w:val="22"/>
          <w:szCs w:val="22"/>
        </w:rPr>
        <w:t xml:space="preserve"> (This will be used in problem 6</w:t>
      </w:r>
      <w:r>
        <w:rPr>
          <w:sz w:val="22"/>
          <w:szCs w:val="22"/>
        </w:rPr>
        <w:t xml:space="preserve">). If </w:t>
      </w:r>
      <w:r>
        <w:rPr>
          <w:i/>
          <w:iCs/>
          <w:sz w:val="22"/>
          <w:szCs w:val="22"/>
        </w:rPr>
        <w:t>HR</w:t>
      </w:r>
      <w:r>
        <w:rPr>
          <w:sz w:val="22"/>
          <w:szCs w:val="22"/>
        </w:rPr>
        <w:t xml:space="preserve"> is the hazard ratio (use the actual hazard ratio estimate) obtained from your regression model, this can be effected by the Stata code</w:t>
      </w:r>
      <w:r w:rsidR="00E01E38">
        <w:rPr>
          <w:sz w:val="22"/>
          <w:szCs w:val="22"/>
        </w:rPr>
        <w:t xml:space="preserve"> </w:t>
      </w:r>
    </w:p>
    <w:p w14:paraId="50F05DCB" w14:textId="77777777" w:rsidR="00474EF6" w:rsidRPr="002777EC" w:rsidRDefault="00A620A3"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 xml:space="preserve">gen </w:t>
      </w:r>
      <w:r w:rsidR="002777EC" w:rsidRPr="002777EC">
        <w:rPr>
          <w:rFonts w:ascii="Courier New" w:hAnsi="Courier New" w:cs="Courier New"/>
          <w:sz w:val="22"/>
          <w:szCs w:val="22"/>
          <w:lang w:val="it-IT"/>
        </w:rPr>
        <w:t>logbili = log(bili</w:t>
      </w:r>
      <w:r w:rsidR="00474EF6" w:rsidRPr="002777EC">
        <w:rPr>
          <w:rFonts w:ascii="Courier New" w:hAnsi="Courier New" w:cs="Courier New"/>
          <w:sz w:val="22"/>
          <w:szCs w:val="22"/>
          <w:lang w:val="it-IT"/>
        </w:rPr>
        <w:t>)</w:t>
      </w:r>
    </w:p>
    <w:p w14:paraId="304B1255" w14:textId="77777777" w:rsidR="00474EF6" w:rsidRPr="002777EC" w:rsidRDefault="002777EC"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stcox logbili</w:t>
      </w:r>
    </w:p>
    <w:p w14:paraId="4B0B1BB3" w14:textId="77777777" w:rsidR="00A620A3" w:rsidRDefault="00474EF6" w:rsidP="002777EC">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2777EC">
        <w:rPr>
          <w:rFonts w:ascii="Courier New" w:hAnsi="Courier New" w:cs="Courier New"/>
          <w:i/>
          <w:iCs/>
          <w:sz w:val="22"/>
          <w:szCs w:val="22"/>
        </w:rPr>
        <w:t>logbili</w:t>
      </w:r>
      <w:proofErr w:type="spellEnd"/>
      <w:r w:rsidR="00A620A3">
        <w:rPr>
          <w:rFonts w:ascii="Courier New" w:hAnsi="Courier New" w:cs="Courier New"/>
          <w:sz w:val="22"/>
          <w:szCs w:val="22"/>
        </w:rPr>
        <w:t>)</w:t>
      </w:r>
    </w:p>
    <w:p w14:paraId="04326D2F" w14:textId="77777777" w:rsidR="00115B08" w:rsidRDefault="00E01E38" w:rsidP="00E01E38">
      <w:pPr>
        <w:autoSpaceDE w:val="0"/>
        <w:autoSpaceDN w:val="0"/>
        <w:adjustRightInd w:val="0"/>
        <w:spacing w:after="120"/>
        <w:ind w:left="1440"/>
        <w:rPr>
          <w:sz w:val="22"/>
          <w:szCs w:val="22"/>
        </w:rPr>
      </w:pPr>
      <w:r>
        <w:rPr>
          <w:sz w:val="22"/>
          <w:szCs w:val="22"/>
        </w:rPr>
        <w:t xml:space="preserve">(Note that the </w:t>
      </w:r>
      <w:proofErr w:type="gramStart"/>
      <w:r>
        <w:rPr>
          <w:sz w:val="22"/>
          <w:szCs w:val="22"/>
        </w:rPr>
        <w:t>log(</w:t>
      </w:r>
      <w:proofErr w:type="gramEnd"/>
      <w:r>
        <w:rPr>
          <w:sz w:val="22"/>
          <w:szCs w:val="22"/>
        </w:rPr>
        <w:t>1) = 0 when using any base, so there is no need to rescale by the bilirubin values. Note also that you might want to use a different base in your logarithmic transformation in order to facilitate more natural reporting of effects.)</w:t>
      </w:r>
      <w:r w:rsidR="00A620A3">
        <w:rPr>
          <w:rFonts w:ascii="Courier New" w:hAnsi="Courier New" w:cs="Courier New"/>
          <w:sz w:val="22"/>
          <w:szCs w:val="22"/>
        </w:rPr>
        <w:t xml:space="preserve"> </w:t>
      </w:r>
      <w:r w:rsidR="00A620A3">
        <w:rPr>
          <w:sz w:val="22"/>
          <w:szCs w:val="22"/>
        </w:rPr>
        <w:t xml:space="preserve"> </w:t>
      </w:r>
    </w:p>
    <w:p w14:paraId="1D935EAC" w14:textId="332F61D7" w:rsidR="00E01E38" w:rsidRDefault="00E01E38" w:rsidP="00E01E38">
      <w:pPr>
        <w:numPr>
          <w:ilvl w:val="0"/>
          <w:numId w:val="19"/>
        </w:numPr>
        <w:autoSpaceDE w:val="0"/>
        <w:autoSpaceDN w:val="0"/>
        <w:adjustRightInd w:val="0"/>
        <w:spacing w:after="120"/>
        <w:rPr>
          <w:sz w:val="22"/>
          <w:szCs w:val="22"/>
        </w:rPr>
      </w:pPr>
      <w:r>
        <w:rPr>
          <w:sz w:val="22"/>
          <w:szCs w:val="22"/>
        </w:rPr>
        <w:t xml:space="preserve">One approach to testing to see whether an association between the response and the predictor of interest is adequately modeled by an untransformed continuous variable is to add some other </w:t>
      </w:r>
      <w:r>
        <w:rPr>
          <w:sz w:val="22"/>
          <w:szCs w:val="22"/>
        </w:rPr>
        <w:lastRenderedPageBreak/>
        <w:t xml:space="preserve">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sz w:val="22"/>
          <w:szCs w:val="22"/>
        </w:rPr>
        <w:t xml:space="preserve">a priori </w:t>
      </w:r>
      <w:r>
        <w:rPr>
          <w:sz w:val="22"/>
          <w:szCs w:val="22"/>
        </w:rPr>
        <w:t xml:space="preserve">interest in the log bilirubin might drive us to the specified analysis.) </w:t>
      </w:r>
    </w:p>
    <w:p w14:paraId="39A3A19C" w14:textId="5888FE61" w:rsidR="00E01E38" w:rsidRDefault="00927CF6" w:rsidP="00E01E38">
      <w:pPr>
        <w:numPr>
          <w:ilvl w:val="1"/>
          <w:numId w:val="19"/>
        </w:numPr>
        <w:autoSpaceDE w:val="0"/>
        <w:autoSpaceDN w:val="0"/>
        <w:adjustRightInd w:val="0"/>
        <w:spacing w:after="120"/>
        <w:rPr>
          <w:sz w:val="22"/>
          <w:szCs w:val="22"/>
        </w:rPr>
      </w:pPr>
      <w:r>
        <w:rPr>
          <w:sz w:val="22"/>
          <w:szCs w:val="22"/>
        </w:rPr>
        <w:t>Provide full inference related to the question of whether the association is linear.</w:t>
      </w:r>
    </w:p>
    <w:p w14:paraId="3F0D3466" w14:textId="2E7A4DC3" w:rsidR="00FA4F7E" w:rsidRDefault="00FA4F7E" w:rsidP="00FA4F7E">
      <w:pPr>
        <w:autoSpaceDE w:val="0"/>
        <w:autoSpaceDN w:val="0"/>
        <w:adjustRightInd w:val="0"/>
        <w:spacing w:after="120"/>
        <w:rPr>
          <w:sz w:val="22"/>
          <w:szCs w:val="22"/>
        </w:rPr>
      </w:pPr>
      <w:commentRangeStart w:id="9"/>
      <w:r>
        <w:rPr>
          <w:b/>
          <w:sz w:val="22"/>
          <w:szCs w:val="22"/>
        </w:rPr>
        <w:t>Methods</w:t>
      </w:r>
      <w:commentRangeEnd w:id="9"/>
      <w:r w:rsidR="00E06B26">
        <w:rPr>
          <w:rStyle w:val="CommentReference"/>
        </w:rPr>
        <w:commentReference w:id="9"/>
      </w:r>
      <w:r>
        <w:rPr>
          <w:b/>
          <w:sz w:val="22"/>
          <w:szCs w:val="22"/>
        </w:rPr>
        <w:t xml:space="preserve">: </w:t>
      </w:r>
      <w:r>
        <w:rPr>
          <w:sz w:val="22"/>
          <w:szCs w:val="22"/>
        </w:rPr>
        <w:t xml:space="preserve"> As in question 1, the 312 subjects with complete data were analyzed in order to address whether there existed an association between serum bilirubin and all-cause mortality. The serum bilirubin was first logarithmically transformed (base 2) and then a cox proportional hazards model with Huber-White sandwich estimator (robust standard error) was applied with death as the response variable and the predictor of interest being the log-transformed serum bilirubin with an additional covariate added, the untransformed serum bilirubin. The z statistic (Wald test) was used to calculate a p-value with a threshold of 0.05, and Wald based confidence intervals were used to calculate the 95% CI.</w:t>
      </w:r>
    </w:p>
    <w:p w14:paraId="78A008B0" w14:textId="1F1C42A7" w:rsidR="00FA4F7E" w:rsidRPr="002F097F" w:rsidRDefault="00FA4F7E" w:rsidP="00FA4F7E">
      <w:pPr>
        <w:autoSpaceDE w:val="0"/>
        <w:autoSpaceDN w:val="0"/>
        <w:adjustRightInd w:val="0"/>
        <w:spacing w:after="120"/>
        <w:rPr>
          <w:sz w:val="22"/>
          <w:szCs w:val="22"/>
        </w:rPr>
      </w:pPr>
      <w:r>
        <w:rPr>
          <w:b/>
          <w:sz w:val="22"/>
          <w:szCs w:val="22"/>
        </w:rPr>
        <w:t xml:space="preserve">Results: </w:t>
      </w:r>
      <w:r>
        <w:rPr>
          <w:sz w:val="22"/>
          <w:szCs w:val="22"/>
        </w:rPr>
        <w:t>Of the 312 subjects included in this analysis, 125 were observed to die in the study period. From the Cox proportional hazards regression model, subjects had a hazard ratio of 2.323 (i.e. a relative 132.3% greater instantaneous risk of dying) for each doubling of serum bilirubin. This observation would not be atypical if the true hazard ratio was between 1.839 and 2.936 for every doubling in serum bilirubin. Based on the two-sided p-value &lt;0.001, we can reject the null hypothesis that there is no association between serum bilirubin levels and instantaneous risk of death (that the hazard ratio was constant across serum bilirubin levels), and we can say that the hazard ratio tends to increase for increasing serum bilirubin.</w:t>
      </w:r>
      <w:r w:rsidR="002F097F">
        <w:rPr>
          <w:sz w:val="22"/>
          <w:szCs w:val="22"/>
        </w:rPr>
        <w:t xml:space="preserve"> To assess whether the additional untransformed bilirubin provided better “fit” for our model, a Wald test on whether the coefficient for this parameter was not zero. This test yielded a p-value </w:t>
      </w:r>
      <w:r w:rsidR="00B216B7">
        <w:rPr>
          <w:sz w:val="22"/>
          <w:szCs w:val="22"/>
        </w:rPr>
        <w:t xml:space="preserve">of 0.324, indicating that we can not reject the null hypothesis that this added term has a non-zero slope (i.e. that the instantaneous risk of death is not modeled “well-enough” by the log transformed serum bilirubin).  </w:t>
      </w:r>
      <w:r w:rsidR="002F097F">
        <w:rPr>
          <w:sz w:val="22"/>
          <w:szCs w:val="22"/>
        </w:rPr>
        <w:t>With a quick check of the model R</w:t>
      </w:r>
      <w:r w:rsidR="002F097F">
        <w:rPr>
          <w:sz w:val="22"/>
          <w:szCs w:val="22"/>
          <w:vertAlign w:val="superscript"/>
        </w:rPr>
        <w:t>2</w:t>
      </w:r>
      <w:r w:rsidR="002F097F">
        <w:rPr>
          <w:sz w:val="22"/>
          <w:szCs w:val="22"/>
        </w:rPr>
        <w:t xml:space="preserve"> to address the linearity of the association, we can see that adding the untransformed serum bilirubin as a covariate in this model produced an R</w:t>
      </w:r>
      <w:r w:rsidR="002F097F">
        <w:rPr>
          <w:sz w:val="22"/>
          <w:szCs w:val="22"/>
          <w:vertAlign w:val="superscript"/>
        </w:rPr>
        <w:t>2</w:t>
      </w:r>
      <w:r w:rsidR="002F097F">
        <w:rPr>
          <w:sz w:val="22"/>
          <w:szCs w:val="22"/>
        </w:rPr>
        <w:t xml:space="preserve"> that was only slightly higher (0.349 vs 0.347 for the log-transformed model alone), indicating that it didn’t do much for the linearity of fit.</w:t>
      </w:r>
      <w:r w:rsidR="00B216B7">
        <w:rPr>
          <w:sz w:val="22"/>
          <w:szCs w:val="22"/>
        </w:rPr>
        <w:t xml:space="preserve"> </w:t>
      </w:r>
    </w:p>
    <w:p w14:paraId="01DC08B9" w14:textId="1839B6A8" w:rsidR="00FA4F7E" w:rsidRDefault="00FA4F7E" w:rsidP="00FA4F7E">
      <w:pPr>
        <w:autoSpaceDE w:val="0"/>
        <w:autoSpaceDN w:val="0"/>
        <w:adjustRightInd w:val="0"/>
        <w:spacing w:after="120"/>
        <w:rPr>
          <w:sz w:val="22"/>
          <w:szCs w:val="22"/>
        </w:rPr>
      </w:pPr>
    </w:p>
    <w:p w14:paraId="557BAF31" w14:textId="77777777" w:rsidR="00E01E38" w:rsidRDefault="00E01E38" w:rsidP="00E01E38">
      <w:pPr>
        <w:numPr>
          <w:ilvl w:val="1"/>
          <w:numId w:val="19"/>
        </w:numPr>
        <w:autoSpaceDE w:val="0"/>
        <w:autoSpaceDN w:val="0"/>
        <w:adjustRightInd w:val="0"/>
        <w:spacing w:after="120"/>
        <w:rPr>
          <w:sz w:val="22"/>
          <w:szCs w:val="22"/>
        </w:rPr>
      </w:pPr>
      <w:r>
        <w:rPr>
          <w:sz w:val="22"/>
          <w:szCs w:val="22"/>
        </w:rPr>
        <w:t>Again, save the fitted values from this model by obtaining the estimated HRs relative to a group with bilirubin of 1 mg/dl. (This will be used in problem 6.)</w:t>
      </w:r>
    </w:p>
    <w:p w14:paraId="04FCDC9F" w14:textId="4E6FAF8C" w:rsidR="00E01E38" w:rsidRDefault="00E01E38" w:rsidP="00E01E38">
      <w:pPr>
        <w:numPr>
          <w:ilvl w:val="0"/>
          <w:numId w:val="19"/>
        </w:numPr>
        <w:autoSpaceDE w:val="0"/>
        <w:autoSpaceDN w:val="0"/>
        <w:adjustRightInd w:val="0"/>
        <w:spacing w:after="120"/>
        <w:rPr>
          <w:sz w:val="22"/>
          <w:szCs w:val="22"/>
        </w:rPr>
      </w:pPr>
      <w:r>
        <w:rPr>
          <w:sz w:val="22"/>
          <w:szCs w:val="22"/>
        </w:rPr>
        <w:t>Display a graph with the fitted hazard ratios from problems 3 - 5. Comment on any similarities or differences of the fitted values from the three models.</w:t>
      </w:r>
    </w:p>
    <w:p w14:paraId="2EE1605D" w14:textId="24163A5E" w:rsidR="001D54A3" w:rsidRDefault="001D54A3" w:rsidP="001D54A3">
      <w:pPr>
        <w:autoSpaceDE w:val="0"/>
        <w:autoSpaceDN w:val="0"/>
        <w:adjustRightInd w:val="0"/>
        <w:spacing w:after="120"/>
        <w:rPr>
          <w:sz w:val="22"/>
          <w:szCs w:val="22"/>
        </w:rPr>
      </w:pPr>
      <w:r>
        <w:rPr>
          <w:sz w:val="22"/>
          <w:szCs w:val="22"/>
        </w:rPr>
        <w:t xml:space="preserve">See the graph on the next page. </w:t>
      </w:r>
      <w:r w:rsidR="002333C7">
        <w:rPr>
          <w:sz w:val="22"/>
          <w:szCs w:val="22"/>
        </w:rPr>
        <w:t xml:space="preserve">All three models show </w:t>
      </w:r>
      <w:r w:rsidR="00E22E23">
        <w:rPr>
          <w:sz w:val="22"/>
          <w:szCs w:val="22"/>
        </w:rPr>
        <w:t xml:space="preserve">increasing hazard as serum bilirubin increased. All three models are </w:t>
      </w:r>
      <w:r w:rsidR="002333C7">
        <w:rPr>
          <w:sz w:val="22"/>
          <w:szCs w:val="22"/>
        </w:rPr>
        <w:t>relatively consistent fitted hazard ratios for very low serum bilirubin (below 1 or 2 mg/</w:t>
      </w:r>
      <w:proofErr w:type="spellStart"/>
      <w:r w:rsidR="002333C7">
        <w:rPr>
          <w:sz w:val="22"/>
          <w:szCs w:val="22"/>
        </w:rPr>
        <w:t>dL</w:t>
      </w:r>
      <w:proofErr w:type="spellEnd"/>
      <w:r w:rsidR="002333C7">
        <w:rPr>
          <w:sz w:val="22"/>
          <w:szCs w:val="22"/>
        </w:rPr>
        <w:t>), but the model from question #3 (i.e. untransformed bilirubin) quickly diverges from the other two models. The untransformed model shows a curvilinear increase</w:t>
      </w:r>
      <w:r w:rsidR="00E22E23">
        <w:rPr>
          <w:sz w:val="22"/>
          <w:szCs w:val="22"/>
        </w:rPr>
        <w:t xml:space="preserve"> </w:t>
      </w:r>
      <w:r w:rsidR="002333C7">
        <w:rPr>
          <w:sz w:val="22"/>
          <w:szCs w:val="22"/>
        </w:rPr>
        <w:t>in the hazard ratio as serum bilirubin increases. The other two models are more similar to each other, and show a relatively linear</w:t>
      </w:r>
      <w:r w:rsidR="00AA3E5D">
        <w:rPr>
          <w:sz w:val="22"/>
          <w:szCs w:val="22"/>
        </w:rPr>
        <w:t xml:space="preserve"> increase as serum bilirubin increases. </w:t>
      </w:r>
      <w:commentRangeStart w:id="10"/>
      <w:r w:rsidR="00AA3E5D">
        <w:rPr>
          <w:sz w:val="22"/>
          <w:szCs w:val="22"/>
        </w:rPr>
        <w:t>The log-transformed model does appear more linear on these axes than the model that added the non-transformed term.</w:t>
      </w:r>
      <w:commentRangeEnd w:id="10"/>
      <w:r w:rsidR="00B45E52">
        <w:rPr>
          <w:rStyle w:val="CommentReference"/>
        </w:rPr>
        <w:commentReference w:id="10"/>
      </w:r>
    </w:p>
    <w:p w14:paraId="08ED3FA7" w14:textId="77777777" w:rsidR="002333C7" w:rsidRDefault="002333C7" w:rsidP="001D54A3">
      <w:pPr>
        <w:autoSpaceDE w:val="0"/>
        <w:autoSpaceDN w:val="0"/>
        <w:adjustRightInd w:val="0"/>
        <w:spacing w:after="120"/>
        <w:rPr>
          <w:sz w:val="22"/>
          <w:szCs w:val="22"/>
        </w:rPr>
      </w:pPr>
    </w:p>
    <w:p w14:paraId="73A86FDD" w14:textId="3C44D531" w:rsidR="00927CF6" w:rsidRDefault="00927CF6" w:rsidP="00927CF6">
      <w:pPr>
        <w:numPr>
          <w:ilvl w:val="0"/>
          <w:numId w:val="19"/>
        </w:numPr>
        <w:autoSpaceDE w:val="0"/>
        <w:autoSpaceDN w:val="0"/>
        <w:adjustRightInd w:val="0"/>
        <w:spacing w:after="120"/>
        <w:rPr>
          <w:sz w:val="22"/>
          <w:szCs w:val="22"/>
        </w:rPr>
      </w:pPr>
      <w:r>
        <w:rPr>
          <w:sz w:val="22"/>
          <w:szCs w:val="22"/>
        </w:rPr>
        <w:t>We are interested in considering analyses of the association between all cause mortality and serum bilirubin after adjustment for age and sex.</w:t>
      </w:r>
    </w:p>
    <w:p w14:paraId="1FD862A7" w14:textId="37B3890D" w:rsidR="00927CF6" w:rsidRDefault="002333C7" w:rsidP="00927CF6">
      <w:pPr>
        <w:numPr>
          <w:ilvl w:val="1"/>
          <w:numId w:val="19"/>
        </w:numPr>
        <w:autoSpaceDE w:val="0"/>
        <w:autoSpaceDN w:val="0"/>
        <w:adjustRightInd w:val="0"/>
        <w:spacing w:after="120"/>
        <w:rPr>
          <w:sz w:val="22"/>
          <w:szCs w:val="22"/>
        </w:rPr>
      </w:pPr>
      <w:r>
        <w:rPr>
          <w:noProof/>
          <w:sz w:val="22"/>
          <w:szCs w:val="22"/>
        </w:rPr>
        <w:lastRenderedPageBreak/>
        <w:drawing>
          <wp:anchor distT="0" distB="0" distL="114300" distR="114300" simplePos="0" relativeHeight="251662336" behindDoc="0" locked="0" layoutInCell="1" allowOverlap="1" wp14:anchorId="13EBCF03" wp14:editId="1E431EED">
            <wp:simplePos x="0" y="0"/>
            <wp:positionH relativeFrom="column">
              <wp:posOffset>-314325</wp:posOffset>
            </wp:positionH>
            <wp:positionV relativeFrom="paragraph">
              <wp:posOffset>93980</wp:posOffset>
            </wp:positionV>
            <wp:extent cx="6909435" cy="6909435"/>
            <wp:effectExtent l="0" t="0" r="0" b="0"/>
            <wp:wrapThrough wrapText="bothSides">
              <wp:wrapPolygon edited="0">
                <wp:start x="0" y="0"/>
                <wp:lineTo x="0" y="21519"/>
                <wp:lineTo x="21519" y="21519"/>
                <wp:lineTo x="215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tedHRvalues.jpg"/>
                    <pic:cNvPicPr/>
                  </pic:nvPicPr>
                  <pic:blipFill>
                    <a:blip r:embed="rId10">
                      <a:extLst>
                        <a:ext uri="{28A0092B-C50C-407E-A947-70E740481C1C}">
                          <a14:useLocalDpi xmlns:a14="http://schemas.microsoft.com/office/drawing/2010/main" val="0"/>
                        </a:ext>
                      </a:extLst>
                    </a:blip>
                    <a:stretch>
                      <a:fillRect/>
                    </a:stretch>
                  </pic:blipFill>
                  <pic:spPr>
                    <a:xfrm>
                      <a:off x="0" y="0"/>
                      <a:ext cx="6909435" cy="6909435"/>
                    </a:xfrm>
                    <a:prstGeom prst="rect">
                      <a:avLst/>
                    </a:prstGeom>
                  </pic:spPr>
                </pic:pic>
              </a:graphicData>
            </a:graphic>
            <wp14:sizeRelH relativeFrom="margin">
              <wp14:pctWidth>0</wp14:pctWidth>
            </wp14:sizeRelH>
            <wp14:sizeRelV relativeFrom="margin">
              <wp14:pctHeight>0</wp14:pctHeight>
            </wp14:sizeRelV>
          </wp:anchor>
        </w:drawing>
      </w:r>
      <w:r w:rsidR="00927CF6">
        <w:rPr>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p>
    <w:p w14:paraId="0BC7627A" w14:textId="3552AB55" w:rsidR="00AA3E5D" w:rsidRPr="00AA3E5D" w:rsidRDefault="00AA3E5D" w:rsidP="00AA3E5D">
      <w:pPr>
        <w:autoSpaceDE w:val="0"/>
        <w:autoSpaceDN w:val="0"/>
        <w:adjustRightInd w:val="0"/>
        <w:spacing w:after="120"/>
        <w:rPr>
          <w:sz w:val="22"/>
          <w:szCs w:val="22"/>
        </w:rPr>
      </w:pPr>
      <w:commentRangeStart w:id="11"/>
      <w:r>
        <w:rPr>
          <w:b/>
          <w:sz w:val="22"/>
          <w:szCs w:val="22"/>
        </w:rPr>
        <w:t>Answer</w:t>
      </w:r>
      <w:commentRangeEnd w:id="11"/>
      <w:r w:rsidR="00B62678">
        <w:rPr>
          <w:rStyle w:val="CommentReference"/>
        </w:rPr>
        <w:commentReference w:id="11"/>
      </w:r>
      <w:r>
        <w:rPr>
          <w:b/>
          <w:sz w:val="22"/>
          <w:szCs w:val="22"/>
        </w:rPr>
        <w:t xml:space="preserve">: </w:t>
      </w:r>
      <w:r w:rsidR="00765466">
        <w:rPr>
          <w:sz w:val="22"/>
          <w:szCs w:val="22"/>
        </w:rPr>
        <w:t xml:space="preserve">The potential association of gender with serum bilirubin levels (POI) in our sample (as can be seen from the descriptive statistics table) satisfies one requirement of confounding. The propensity of females for more severe auto-immune diseases (one of the hypothesized mechanisms of PBC) might suggest that there is </w:t>
      </w:r>
      <w:r w:rsidR="00765466">
        <w:rPr>
          <w:sz w:val="22"/>
          <w:szCs w:val="22"/>
        </w:rPr>
        <w:lastRenderedPageBreak/>
        <w:t xml:space="preserve">a causal relationship between sex and all-cause mortality that lies outside of the association with bilirubin. This second is hard to see in our data. </w:t>
      </w:r>
    </w:p>
    <w:p w14:paraId="4B4D73C3" w14:textId="77777777" w:rsidR="00927CF6" w:rsidRDefault="00927CF6" w:rsidP="00927CF6">
      <w:pPr>
        <w:numPr>
          <w:ilvl w:val="1"/>
          <w:numId w:val="19"/>
        </w:numPr>
        <w:autoSpaceDE w:val="0"/>
        <w:autoSpaceDN w:val="0"/>
        <w:adjustRightInd w:val="0"/>
        <w:spacing w:after="120"/>
        <w:rPr>
          <w:sz w:val="22"/>
          <w:szCs w:val="22"/>
        </w:rPr>
      </w:pPr>
      <w:r>
        <w:rPr>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p>
    <w:p w14:paraId="3F83BCE9" w14:textId="54E036E1" w:rsidR="00765466" w:rsidRPr="00765466" w:rsidRDefault="00765466" w:rsidP="00765466">
      <w:pPr>
        <w:autoSpaceDE w:val="0"/>
        <w:autoSpaceDN w:val="0"/>
        <w:adjustRightInd w:val="0"/>
        <w:spacing w:after="120"/>
        <w:rPr>
          <w:sz w:val="22"/>
          <w:szCs w:val="22"/>
        </w:rPr>
      </w:pPr>
      <w:commentRangeStart w:id="12"/>
      <w:r>
        <w:rPr>
          <w:b/>
          <w:sz w:val="22"/>
          <w:szCs w:val="22"/>
        </w:rPr>
        <w:t>Answer</w:t>
      </w:r>
      <w:commentRangeEnd w:id="12"/>
      <w:r w:rsidR="00B62678">
        <w:rPr>
          <w:rStyle w:val="CommentReference"/>
        </w:rPr>
        <w:commentReference w:id="12"/>
      </w:r>
      <w:r>
        <w:rPr>
          <w:b/>
          <w:sz w:val="22"/>
          <w:szCs w:val="22"/>
        </w:rPr>
        <w:t>:</w:t>
      </w:r>
      <w:r>
        <w:rPr>
          <w:sz w:val="22"/>
          <w:szCs w:val="22"/>
        </w:rPr>
        <w:t xml:space="preserve"> The key here is that precision variables can decrease standard errors. There is a wide range of ages across groups defined for serum bilirubin. Although there doesn’t seem to be a strong association between age and bilirubin based on this analysis, it is reasonable to believe that age is causally associated with death (in a manner independent and dependent on serum bilirubin levels). This causal association with response without association with POI in our sample suggests that we will gain precision by accounting for it.</w:t>
      </w:r>
    </w:p>
    <w:p w14:paraId="755EEA89" w14:textId="77777777" w:rsidR="00927CF6" w:rsidRDefault="00927CF6" w:rsidP="00927CF6">
      <w:pPr>
        <w:numPr>
          <w:ilvl w:val="1"/>
          <w:numId w:val="19"/>
        </w:numPr>
        <w:autoSpaceDE w:val="0"/>
        <w:autoSpaceDN w:val="0"/>
        <w:adjustRightInd w:val="0"/>
        <w:spacing w:after="120"/>
        <w:rPr>
          <w:sz w:val="22"/>
          <w:szCs w:val="22"/>
        </w:rPr>
      </w:pPr>
      <w:r>
        <w:rPr>
          <w:sz w:val="22"/>
          <w:szCs w:val="22"/>
        </w:rPr>
        <w:t>Provide full inference regarding an association between death and bilirubin after adjustment for sex and age.</w:t>
      </w:r>
    </w:p>
    <w:p w14:paraId="43ACF6DD" w14:textId="4D124726" w:rsidR="00A55D5E" w:rsidRDefault="00A55D5E" w:rsidP="00A55D5E">
      <w:pPr>
        <w:autoSpaceDE w:val="0"/>
        <w:autoSpaceDN w:val="0"/>
        <w:adjustRightInd w:val="0"/>
        <w:spacing w:after="120"/>
        <w:rPr>
          <w:sz w:val="22"/>
          <w:szCs w:val="22"/>
        </w:rPr>
      </w:pPr>
      <w:commentRangeStart w:id="13"/>
      <w:r>
        <w:rPr>
          <w:b/>
          <w:sz w:val="22"/>
          <w:szCs w:val="22"/>
        </w:rPr>
        <w:t>Methods</w:t>
      </w:r>
      <w:commentRangeEnd w:id="13"/>
      <w:r w:rsidR="00182645">
        <w:rPr>
          <w:rStyle w:val="CommentReference"/>
        </w:rPr>
        <w:commentReference w:id="13"/>
      </w:r>
      <w:r>
        <w:rPr>
          <w:b/>
          <w:sz w:val="22"/>
          <w:szCs w:val="22"/>
        </w:rPr>
        <w:t xml:space="preserve">: </w:t>
      </w:r>
      <w:r>
        <w:rPr>
          <w:sz w:val="22"/>
          <w:szCs w:val="22"/>
        </w:rPr>
        <w:t xml:space="preserve"> As in question 1, the 312 subjects with complete data were analyzed in order to address whether there existed an association between serum bilirubin and all-cause mortality. The serum bilirubin was first logarithmically transformed (base 2) and then a cox proportional hazards model with Huber-White sandwich estimator (robust standard error) was applied with death as the response variable and the predictor of interest being the log-transformed serum bilirubin. Additional covariates added to this model were the subjects’ age at baseline and the sex. The z statistic (Wald test) was used to calculate a p-value with a threshold of 0.05, and Wald based confidence intervals were used to calculate the 95% CI for each coefficient.</w:t>
      </w:r>
    </w:p>
    <w:p w14:paraId="5D8760B0" w14:textId="1515ECF4" w:rsidR="00A55D5E" w:rsidRPr="00843218" w:rsidRDefault="00A55D5E" w:rsidP="00A55D5E">
      <w:pPr>
        <w:autoSpaceDE w:val="0"/>
        <w:autoSpaceDN w:val="0"/>
        <w:adjustRightInd w:val="0"/>
        <w:spacing w:after="120"/>
        <w:rPr>
          <w:sz w:val="22"/>
          <w:szCs w:val="22"/>
        </w:rPr>
      </w:pPr>
      <w:r>
        <w:rPr>
          <w:b/>
          <w:sz w:val="22"/>
          <w:szCs w:val="22"/>
        </w:rPr>
        <w:t xml:space="preserve">Results: </w:t>
      </w:r>
      <w:r>
        <w:rPr>
          <w:sz w:val="22"/>
          <w:szCs w:val="22"/>
        </w:rPr>
        <w:t xml:space="preserve">Of the 312 subjects included in this analysis, 125 were observed to die in the study period. From the Cox proportional hazards regression model, after accounting for age and sex, subjects had a hazard ratio of 2.109 for each doubling of serum bilirubin. This observation would not be atypical if the true hazard ratio was between 1.840 and 2.417 for every doubling in serum bilirubin. Based on the two-sided p-value &lt;0.001, we can reject the null hypothesis that there is no association between serum bilirubin levels and instantaneous risk of death (that the hazard ratio was constant across serum bilirubin levels) after accounting for age and sex, and we can say that the hazard ratio tends to increase for increasing serum bilirubin. In addition, even as bilirubin and sex are held constant, the age of the subject is associated with their instantaneous risk of dying, as evidenced by a statistically significant non-zero coefficient in this model (p = 0.00016). In fact, the hazard ratio is 1.461 (i.e. the instantaneous risk of death increases a relative 46.1%) for every 10 year increase in age, after accounting for sex and serum bilirubin (95% </w:t>
      </w:r>
      <w:proofErr w:type="gramStart"/>
      <w:r>
        <w:rPr>
          <w:sz w:val="22"/>
          <w:szCs w:val="22"/>
        </w:rPr>
        <w:t>CI  1.200</w:t>
      </w:r>
      <w:proofErr w:type="gramEnd"/>
      <w:r>
        <w:rPr>
          <w:sz w:val="22"/>
          <w:szCs w:val="22"/>
        </w:rPr>
        <w:t xml:space="preserve"> – 1.774 for every 10 year increase).</w:t>
      </w:r>
    </w:p>
    <w:p w14:paraId="011DE85D" w14:textId="77777777" w:rsidR="00A55D5E" w:rsidRDefault="00A55D5E" w:rsidP="00A55D5E">
      <w:pPr>
        <w:autoSpaceDE w:val="0"/>
        <w:autoSpaceDN w:val="0"/>
        <w:adjustRightInd w:val="0"/>
        <w:spacing w:after="120"/>
        <w:rPr>
          <w:sz w:val="22"/>
          <w:szCs w:val="22"/>
        </w:rPr>
      </w:pPr>
    </w:p>
    <w:p w14:paraId="55587CC9" w14:textId="77777777" w:rsidR="00927CF6" w:rsidRDefault="00927CF6" w:rsidP="00927CF6">
      <w:pPr>
        <w:numPr>
          <w:ilvl w:val="0"/>
          <w:numId w:val="19"/>
        </w:numPr>
        <w:autoSpaceDE w:val="0"/>
        <w:autoSpaceDN w:val="0"/>
        <w:adjustRightInd w:val="0"/>
        <w:spacing w:after="120"/>
        <w:rPr>
          <w:sz w:val="22"/>
          <w:szCs w:val="22"/>
        </w:rPr>
      </w:pPr>
      <w:r>
        <w:rPr>
          <w:sz w:val="22"/>
          <w:szCs w:val="22"/>
        </w:rPr>
        <w:t>Note that in the above analyses, we completely ignored the intervention in the RCT? What impact could this have had on our results?</w:t>
      </w:r>
    </w:p>
    <w:p w14:paraId="74CD1BB6" w14:textId="3789963B" w:rsidR="00E263BC" w:rsidRPr="00E263BC" w:rsidRDefault="00E263BC" w:rsidP="00E263BC">
      <w:pPr>
        <w:autoSpaceDE w:val="0"/>
        <w:autoSpaceDN w:val="0"/>
        <w:adjustRightInd w:val="0"/>
        <w:spacing w:after="120"/>
        <w:rPr>
          <w:sz w:val="22"/>
          <w:szCs w:val="22"/>
        </w:rPr>
      </w:pPr>
      <w:commentRangeStart w:id="14"/>
      <w:r>
        <w:rPr>
          <w:b/>
          <w:sz w:val="22"/>
          <w:szCs w:val="22"/>
        </w:rPr>
        <w:t>Answer</w:t>
      </w:r>
      <w:commentRangeEnd w:id="14"/>
      <w:r w:rsidR="00F52C89">
        <w:rPr>
          <w:rStyle w:val="CommentReference"/>
        </w:rPr>
        <w:commentReference w:id="14"/>
      </w:r>
      <w:r>
        <w:rPr>
          <w:b/>
          <w:sz w:val="22"/>
          <w:szCs w:val="22"/>
        </w:rPr>
        <w:t xml:space="preserve">: </w:t>
      </w:r>
      <w:r>
        <w:rPr>
          <w:sz w:val="22"/>
          <w:szCs w:val="22"/>
        </w:rPr>
        <w:t>Since this is a randomized controlled trial, it would be nice to assume that within each subgroup there were exactly even proportions on subjects randomized to the treatment arm. Without stratified randomization, however, there is likely to be stochastic variations. If we expect D-</w:t>
      </w:r>
      <w:proofErr w:type="spellStart"/>
      <w:r>
        <w:rPr>
          <w:sz w:val="22"/>
          <w:szCs w:val="22"/>
        </w:rPr>
        <w:t>penicallamine</w:t>
      </w:r>
      <w:proofErr w:type="spellEnd"/>
      <w:r>
        <w:rPr>
          <w:sz w:val="22"/>
          <w:szCs w:val="22"/>
        </w:rPr>
        <w:t xml:space="preserve"> to produce an effect on all-cause mortality (hopefully strongly diminished), then even small variations can confound any analysis on bilirubin. As can be seen by table 1 of the descriptive statistics, there does seem to be non-uniform distribution of treatment groups across serum bilirubin levels. </w:t>
      </w:r>
    </w:p>
    <w:p w14:paraId="3EB7FDF7" w14:textId="77777777" w:rsidR="009D5804" w:rsidRPr="009D5804" w:rsidRDefault="009D5804" w:rsidP="007B1360">
      <w:pPr>
        <w:pStyle w:val="PlainText"/>
        <w:rPr>
          <w:rFonts w:ascii="Times New Roman" w:hAnsi="Times New Roman" w:cs="Times New Roman"/>
          <w:sz w:val="22"/>
          <w:szCs w:val="22"/>
        </w:rPr>
      </w:pPr>
    </w:p>
    <w:sectPr w:rsidR="009D5804" w:rsidRPr="009D5804" w:rsidSect="00705ECB">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0DBFF7ED" w14:textId="189709BB" w:rsidR="009C1054" w:rsidRDefault="009C1054">
      <w:pPr>
        <w:pStyle w:val="CommentText"/>
      </w:pPr>
      <w:r>
        <w:rPr>
          <w:rStyle w:val="CommentReference"/>
        </w:rPr>
        <w:annotationRef/>
      </w:r>
    </w:p>
    <w:p w14:paraId="755CFB1C" w14:textId="532D72BA" w:rsidR="009C1054" w:rsidRDefault="009C1054">
      <w:pPr>
        <w:pStyle w:val="CommentText"/>
      </w:pPr>
      <w:r>
        <w:t>Total: 78/100</w:t>
      </w:r>
    </w:p>
  </w:comment>
  <w:comment w:id="2" w:author="Author" w:initials="A">
    <w:p w14:paraId="5DB1268B" w14:textId="77777777" w:rsidR="000336DA" w:rsidRDefault="000336DA">
      <w:pPr>
        <w:pStyle w:val="CommentText"/>
      </w:pPr>
      <w:r>
        <w:rPr>
          <w:rStyle w:val="CommentReference"/>
        </w:rPr>
        <w:annotationRef/>
      </w:r>
    </w:p>
    <w:p w14:paraId="3220A715" w14:textId="51819B17" w:rsidR="000336DA" w:rsidRDefault="000336DA">
      <w:pPr>
        <w:pStyle w:val="CommentText"/>
      </w:pPr>
      <w:r>
        <w:t>9/10</w:t>
      </w:r>
    </w:p>
  </w:comment>
  <w:comment w:id="3" w:author="Author" w:initials="A">
    <w:p w14:paraId="2B2BEB73" w14:textId="0E50DAF1" w:rsidR="000336DA" w:rsidRDefault="000336DA">
      <w:pPr>
        <w:pStyle w:val="CommentText"/>
      </w:pPr>
      <w:r>
        <w:rPr>
          <w:rStyle w:val="CommentReference"/>
        </w:rPr>
        <w:annotationRef/>
      </w:r>
      <w:r>
        <w:t>Good</w:t>
      </w:r>
    </w:p>
  </w:comment>
  <w:comment w:id="4" w:author="Author" w:initials="A">
    <w:p w14:paraId="4B8488F3" w14:textId="77777777" w:rsidR="000336DA" w:rsidRDefault="000336DA">
      <w:pPr>
        <w:pStyle w:val="CommentText"/>
      </w:pPr>
      <w:r>
        <w:rPr>
          <w:rStyle w:val="CommentReference"/>
        </w:rPr>
        <w:annotationRef/>
      </w:r>
    </w:p>
    <w:p w14:paraId="7427A648" w14:textId="72B6B8C3" w:rsidR="000336DA" w:rsidRDefault="000336DA">
      <w:pPr>
        <w:pStyle w:val="CommentText"/>
      </w:pPr>
      <w:r>
        <w:t>It would be helpful to have actual numbers, rather than vague sentences. For example, “the mean age within this stratum of bilirubin levels was x years, while in another stratum the mean age was y years” instead of “the mean age…were relatively similar”</w:t>
      </w:r>
    </w:p>
  </w:comment>
  <w:comment w:id="5" w:author="Author" w:initials="A">
    <w:p w14:paraId="34AA6896" w14:textId="77777777" w:rsidR="00C4146A" w:rsidRDefault="00C4146A">
      <w:pPr>
        <w:pStyle w:val="CommentText"/>
      </w:pPr>
      <w:r>
        <w:rPr>
          <w:rStyle w:val="CommentReference"/>
        </w:rPr>
        <w:annotationRef/>
      </w:r>
    </w:p>
    <w:p w14:paraId="300DBAD4" w14:textId="77777777" w:rsidR="00C4146A" w:rsidRDefault="00B9557F">
      <w:pPr>
        <w:pStyle w:val="CommentText"/>
      </w:pPr>
      <w:r>
        <w:t>5/10</w:t>
      </w:r>
    </w:p>
    <w:p w14:paraId="5AAB88CB" w14:textId="3B71C46E" w:rsidR="00B9557F" w:rsidRDefault="00B9557F">
      <w:pPr>
        <w:pStyle w:val="CommentText"/>
      </w:pPr>
      <w:r>
        <w:t>Please discuss loss of information due to censoring and differences in times of follow-up</w:t>
      </w:r>
    </w:p>
  </w:comment>
  <w:comment w:id="6" w:author="Author" w:initials="A">
    <w:p w14:paraId="20496A6B" w14:textId="77777777" w:rsidR="00B9557F" w:rsidRDefault="00B9557F">
      <w:pPr>
        <w:pStyle w:val="CommentText"/>
      </w:pPr>
      <w:r>
        <w:rPr>
          <w:rStyle w:val="CommentReference"/>
        </w:rPr>
        <w:annotationRef/>
      </w:r>
    </w:p>
    <w:p w14:paraId="3B844132" w14:textId="4D3EF7D8" w:rsidR="00B9557F" w:rsidRDefault="00B9557F">
      <w:pPr>
        <w:pStyle w:val="CommentText"/>
      </w:pPr>
      <w:r>
        <w:t>10/10</w:t>
      </w:r>
    </w:p>
    <w:p w14:paraId="1689945E" w14:textId="1CDA6CC9" w:rsidR="00B9557F" w:rsidRDefault="00B9557F">
      <w:pPr>
        <w:pStyle w:val="CommentText"/>
      </w:pPr>
      <w:r>
        <w:t>This question was graded based on the numbers provided by the analysis on the 312 subjects, rather than all 418 patients.</w:t>
      </w:r>
    </w:p>
  </w:comment>
  <w:comment w:id="7" w:author="Author" w:initials="A">
    <w:p w14:paraId="2D62239E" w14:textId="77777777" w:rsidR="00336E1C" w:rsidRDefault="00336E1C">
      <w:pPr>
        <w:pStyle w:val="CommentText"/>
      </w:pPr>
      <w:r>
        <w:rPr>
          <w:rStyle w:val="CommentReference"/>
        </w:rPr>
        <w:annotationRef/>
      </w:r>
    </w:p>
    <w:p w14:paraId="69AF97B4" w14:textId="28FD2DE8" w:rsidR="00336E1C" w:rsidRDefault="00336E1C">
      <w:pPr>
        <w:pStyle w:val="CommentText"/>
      </w:pPr>
      <w:r>
        <w:t>5/5</w:t>
      </w:r>
    </w:p>
  </w:comment>
  <w:comment w:id="8" w:author="Author" w:initials="A">
    <w:p w14:paraId="5509CE96" w14:textId="77777777" w:rsidR="00336E1C" w:rsidRDefault="00336E1C">
      <w:pPr>
        <w:pStyle w:val="CommentText"/>
      </w:pPr>
      <w:r>
        <w:rPr>
          <w:rStyle w:val="CommentReference"/>
        </w:rPr>
        <w:annotationRef/>
      </w:r>
    </w:p>
    <w:p w14:paraId="7447430E" w14:textId="77777777" w:rsidR="00336E1C" w:rsidRDefault="00336E1C">
      <w:pPr>
        <w:pStyle w:val="CommentText"/>
      </w:pPr>
      <w:r>
        <w:t>10/10</w:t>
      </w:r>
    </w:p>
    <w:p w14:paraId="13D6D807" w14:textId="11250A89" w:rsidR="00336E1C" w:rsidRDefault="00336E1C">
      <w:pPr>
        <w:pStyle w:val="CommentText"/>
      </w:pPr>
      <w:r>
        <w:t>Again, the question was graded based on analysis of the 312, not the whole population</w:t>
      </w:r>
    </w:p>
  </w:comment>
  <w:comment w:id="9" w:author="Author" w:initials="A">
    <w:p w14:paraId="19015A3A" w14:textId="77777777" w:rsidR="00E06B26" w:rsidRDefault="00E06B26">
      <w:pPr>
        <w:pStyle w:val="CommentText"/>
      </w:pPr>
      <w:r>
        <w:rPr>
          <w:rStyle w:val="CommentReference"/>
        </w:rPr>
        <w:annotationRef/>
      </w:r>
    </w:p>
    <w:p w14:paraId="63EF18F1" w14:textId="4BAC92ED" w:rsidR="00E06B26" w:rsidRDefault="00B45E52">
      <w:pPr>
        <w:pStyle w:val="CommentText"/>
      </w:pPr>
      <w:r>
        <w:t>4</w:t>
      </w:r>
      <w:r w:rsidR="00E06B26">
        <w:t>/10</w:t>
      </w:r>
    </w:p>
    <w:p w14:paraId="683D706E" w14:textId="3D4CEE13" w:rsidR="00E06B26" w:rsidRDefault="00E06B26">
      <w:pPr>
        <w:pStyle w:val="CommentText"/>
      </w:pPr>
      <w:r>
        <w:t>Good start having both parameters in your regression analysis, however, you did not describe how you tested the slope parameter of the log transformed variable and the p-value does seem to be correct, thus your interpretation that we are unable to reject is incorrect.</w:t>
      </w:r>
      <w:r w:rsidR="00B45E52">
        <w:t xml:space="preserve"> </w:t>
      </w:r>
    </w:p>
  </w:comment>
  <w:comment w:id="10" w:author="Author" w:initials="A">
    <w:p w14:paraId="35B546A4" w14:textId="77777777" w:rsidR="00B45E52" w:rsidRDefault="00B45E52">
      <w:pPr>
        <w:pStyle w:val="CommentText"/>
      </w:pPr>
      <w:r>
        <w:rPr>
          <w:rStyle w:val="CommentReference"/>
        </w:rPr>
        <w:annotationRef/>
      </w:r>
    </w:p>
    <w:p w14:paraId="427CF705" w14:textId="0663CF0F" w:rsidR="00B45E52" w:rsidRDefault="00B45E52">
      <w:pPr>
        <w:pStyle w:val="CommentText"/>
      </w:pPr>
      <w:r>
        <w:t>10/10</w:t>
      </w:r>
    </w:p>
  </w:comment>
  <w:comment w:id="11" w:author="Author" w:initials="A">
    <w:p w14:paraId="4DCA418C" w14:textId="77777777" w:rsidR="00B62678" w:rsidRDefault="00B62678">
      <w:pPr>
        <w:pStyle w:val="CommentText"/>
      </w:pPr>
      <w:r>
        <w:rPr>
          <w:rStyle w:val="CommentReference"/>
        </w:rPr>
        <w:annotationRef/>
      </w:r>
    </w:p>
    <w:p w14:paraId="2DC4486B" w14:textId="09C4CD26" w:rsidR="00B62678" w:rsidRDefault="00B62678">
      <w:pPr>
        <w:pStyle w:val="CommentText"/>
      </w:pPr>
      <w:r>
        <w:t>10/10</w:t>
      </w:r>
    </w:p>
  </w:comment>
  <w:comment w:id="12" w:author="Author" w:initials="A">
    <w:p w14:paraId="53C9B0F3" w14:textId="77777777" w:rsidR="00B62678" w:rsidRDefault="00B62678">
      <w:pPr>
        <w:pStyle w:val="CommentText"/>
      </w:pPr>
      <w:r>
        <w:rPr>
          <w:rStyle w:val="CommentReference"/>
        </w:rPr>
        <w:annotationRef/>
      </w:r>
    </w:p>
    <w:p w14:paraId="2737059F" w14:textId="77777777" w:rsidR="00B62678" w:rsidRDefault="00B62678">
      <w:pPr>
        <w:pStyle w:val="CommentText"/>
      </w:pPr>
      <w:r>
        <w:t>5/10</w:t>
      </w:r>
    </w:p>
    <w:p w14:paraId="5DFED91C" w14:textId="4843A0DE" w:rsidR="00B62678" w:rsidRDefault="00B62678">
      <w:pPr>
        <w:pStyle w:val="CommentText"/>
      </w:pPr>
      <w:r>
        <w:t>Did you run any analyses to arrive at this conclusion, one that included both sex and age?</w:t>
      </w:r>
    </w:p>
  </w:comment>
  <w:comment w:id="13" w:author="Author" w:initials="A">
    <w:p w14:paraId="6C1C8B0E" w14:textId="77777777" w:rsidR="00182645" w:rsidRDefault="00182645">
      <w:pPr>
        <w:pStyle w:val="CommentText"/>
      </w:pPr>
      <w:r>
        <w:rPr>
          <w:rStyle w:val="CommentReference"/>
        </w:rPr>
        <w:annotationRef/>
      </w:r>
    </w:p>
    <w:p w14:paraId="6ADA96C3" w14:textId="1E0F7FF0" w:rsidR="00182645" w:rsidRDefault="00182645">
      <w:pPr>
        <w:pStyle w:val="CommentText"/>
      </w:pPr>
      <w:r>
        <w:t>10/10</w:t>
      </w:r>
    </w:p>
  </w:comment>
  <w:comment w:id="14" w:author="Author" w:initials="A">
    <w:p w14:paraId="0478B515" w14:textId="77777777" w:rsidR="00F52C89" w:rsidRDefault="00F52C89">
      <w:pPr>
        <w:pStyle w:val="CommentText"/>
      </w:pPr>
      <w:r>
        <w:rPr>
          <w:rStyle w:val="CommentReference"/>
        </w:rPr>
        <w:annotationRef/>
      </w:r>
    </w:p>
    <w:p w14:paraId="25C78AD2" w14:textId="77777777" w:rsidR="00F52C89" w:rsidRDefault="00F52C89">
      <w:pPr>
        <w:pStyle w:val="CommentText"/>
      </w:pPr>
      <w:r>
        <w:t>0/10</w:t>
      </w:r>
    </w:p>
    <w:p w14:paraId="36E0DCF2" w14:textId="7D5B1960" w:rsidR="00F52C89" w:rsidRDefault="00F52C89">
      <w:pPr>
        <w:pStyle w:val="CommentText"/>
      </w:pPr>
      <w:r>
        <w:t xml:space="preserve">RCT, so no association between Rx and </w:t>
      </w:r>
      <w:proofErr w:type="spellStart"/>
      <w:r>
        <w:t>bili</w:t>
      </w:r>
      <w:proofErr w:type="spellEnd"/>
      <w:r>
        <w:t>. Therefore, no confounding. Sorry, apparently this was an all or nothing question.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F52FC" w14:textId="77777777" w:rsidR="00EE7058" w:rsidRDefault="00EE7058">
      <w:r>
        <w:separator/>
      </w:r>
    </w:p>
  </w:endnote>
  <w:endnote w:type="continuationSeparator" w:id="0">
    <w:p w14:paraId="7DFEB45F" w14:textId="77777777" w:rsidR="00EE7058" w:rsidRDefault="00EE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84D9" w14:textId="77777777" w:rsidR="00D529BF" w:rsidRDefault="00D52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6D7B" w14:textId="77777777" w:rsidR="00D529BF" w:rsidRDefault="00D529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90CA" w14:textId="77777777" w:rsidR="00D529BF" w:rsidRDefault="00D52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621EB" w14:textId="77777777" w:rsidR="00EE7058" w:rsidRDefault="00EE7058">
      <w:r>
        <w:separator/>
      </w:r>
    </w:p>
  </w:footnote>
  <w:footnote w:type="continuationSeparator" w:id="0">
    <w:p w14:paraId="688767E5" w14:textId="77777777" w:rsidR="00EE7058" w:rsidRDefault="00EE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498E" w14:textId="77777777" w:rsidR="00D529BF" w:rsidRDefault="00D52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AFBC" w14:textId="77777777" w:rsidR="00765466" w:rsidRDefault="00765466" w:rsidP="002F0282">
    <w:pPr>
      <w:pStyle w:val="Header"/>
    </w:pPr>
    <w:proofErr w:type="spellStart"/>
    <w:r>
      <w:t>Biost</w:t>
    </w:r>
    <w:proofErr w:type="spellEnd"/>
    <w:r>
      <w:t xml:space="preserve"> 518 / 515, Winter 2015</w:t>
    </w:r>
    <w:r>
      <w:tab/>
      <w:t>Homework #4</w:t>
    </w:r>
    <w:r>
      <w:tab/>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9824D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824D8">
      <w:rPr>
        <w:noProof/>
        <w:snapToGrid w:val="0"/>
      </w:rPr>
      <w:t>7</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24E8" w14:textId="77777777" w:rsidR="00D529BF" w:rsidRDefault="00D52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5898"/>
    <w:rsid w:val="00021A79"/>
    <w:rsid w:val="000263C2"/>
    <w:rsid w:val="000263FF"/>
    <w:rsid w:val="000336DA"/>
    <w:rsid w:val="0004432C"/>
    <w:rsid w:val="00054A42"/>
    <w:rsid w:val="00060C13"/>
    <w:rsid w:val="0006333F"/>
    <w:rsid w:val="000817A7"/>
    <w:rsid w:val="000A3E09"/>
    <w:rsid w:val="000B335E"/>
    <w:rsid w:val="000C17ED"/>
    <w:rsid w:val="000E0604"/>
    <w:rsid w:val="000F52B6"/>
    <w:rsid w:val="0010428A"/>
    <w:rsid w:val="00115B08"/>
    <w:rsid w:val="00125DD5"/>
    <w:rsid w:val="00132AEC"/>
    <w:rsid w:val="00132BA1"/>
    <w:rsid w:val="00140EC9"/>
    <w:rsid w:val="00160820"/>
    <w:rsid w:val="00175BF1"/>
    <w:rsid w:val="00182645"/>
    <w:rsid w:val="001856A5"/>
    <w:rsid w:val="00195B2D"/>
    <w:rsid w:val="001D2DC2"/>
    <w:rsid w:val="001D54A3"/>
    <w:rsid w:val="001E36FF"/>
    <w:rsid w:val="001E5158"/>
    <w:rsid w:val="001E79FA"/>
    <w:rsid w:val="001F053D"/>
    <w:rsid w:val="001F135D"/>
    <w:rsid w:val="00202909"/>
    <w:rsid w:val="0021517E"/>
    <w:rsid w:val="002213A5"/>
    <w:rsid w:val="00224C18"/>
    <w:rsid w:val="00225E67"/>
    <w:rsid w:val="002333C7"/>
    <w:rsid w:val="002365E3"/>
    <w:rsid w:val="0024368C"/>
    <w:rsid w:val="00253D28"/>
    <w:rsid w:val="00261CFB"/>
    <w:rsid w:val="002777EC"/>
    <w:rsid w:val="002D5B86"/>
    <w:rsid w:val="002F0282"/>
    <w:rsid w:val="002F097F"/>
    <w:rsid w:val="00336E1C"/>
    <w:rsid w:val="003471E3"/>
    <w:rsid w:val="00353B06"/>
    <w:rsid w:val="0036127B"/>
    <w:rsid w:val="00385CD1"/>
    <w:rsid w:val="003A6D85"/>
    <w:rsid w:val="003C0FBE"/>
    <w:rsid w:val="003D7C8C"/>
    <w:rsid w:val="003F3001"/>
    <w:rsid w:val="00410986"/>
    <w:rsid w:val="00410B89"/>
    <w:rsid w:val="00415759"/>
    <w:rsid w:val="00421B31"/>
    <w:rsid w:val="0042294F"/>
    <w:rsid w:val="00422D91"/>
    <w:rsid w:val="00443606"/>
    <w:rsid w:val="004514C0"/>
    <w:rsid w:val="00452963"/>
    <w:rsid w:val="004664FD"/>
    <w:rsid w:val="00474EF6"/>
    <w:rsid w:val="0048600A"/>
    <w:rsid w:val="00493969"/>
    <w:rsid w:val="004C3B67"/>
    <w:rsid w:val="004D1289"/>
    <w:rsid w:val="004D1292"/>
    <w:rsid w:val="004D7832"/>
    <w:rsid w:val="004F3B5F"/>
    <w:rsid w:val="00501EC4"/>
    <w:rsid w:val="0050432E"/>
    <w:rsid w:val="0050703D"/>
    <w:rsid w:val="00510B41"/>
    <w:rsid w:val="00511C56"/>
    <w:rsid w:val="00514C90"/>
    <w:rsid w:val="00522D2C"/>
    <w:rsid w:val="00523AA4"/>
    <w:rsid w:val="00567523"/>
    <w:rsid w:val="005737CA"/>
    <w:rsid w:val="00586C10"/>
    <w:rsid w:val="005B14E3"/>
    <w:rsid w:val="005C35DF"/>
    <w:rsid w:val="005C5726"/>
    <w:rsid w:val="005D7E06"/>
    <w:rsid w:val="005E10EC"/>
    <w:rsid w:val="005E415C"/>
    <w:rsid w:val="006138F9"/>
    <w:rsid w:val="006152BE"/>
    <w:rsid w:val="0062265F"/>
    <w:rsid w:val="00624CB6"/>
    <w:rsid w:val="006268D1"/>
    <w:rsid w:val="006336A9"/>
    <w:rsid w:val="00634D47"/>
    <w:rsid w:val="00635969"/>
    <w:rsid w:val="0063762C"/>
    <w:rsid w:val="006508C5"/>
    <w:rsid w:val="00654208"/>
    <w:rsid w:val="00673A26"/>
    <w:rsid w:val="00676B73"/>
    <w:rsid w:val="00693DD6"/>
    <w:rsid w:val="006A5F1B"/>
    <w:rsid w:val="006B1E11"/>
    <w:rsid w:val="006C49EE"/>
    <w:rsid w:val="006E16C5"/>
    <w:rsid w:val="006E5205"/>
    <w:rsid w:val="006F6B36"/>
    <w:rsid w:val="00705ECB"/>
    <w:rsid w:val="00713165"/>
    <w:rsid w:val="007356DE"/>
    <w:rsid w:val="007366CC"/>
    <w:rsid w:val="00741AE1"/>
    <w:rsid w:val="007506C5"/>
    <w:rsid w:val="00751474"/>
    <w:rsid w:val="007518FF"/>
    <w:rsid w:val="00762DE6"/>
    <w:rsid w:val="00765466"/>
    <w:rsid w:val="00767D4A"/>
    <w:rsid w:val="00785A87"/>
    <w:rsid w:val="007B1360"/>
    <w:rsid w:val="007B4E60"/>
    <w:rsid w:val="007E2B48"/>
    <w:rsid w:val="00836540"/>
    <w:rsid w:val="00843218"/>
    <w:rsid w:val="00871347"/>
    <w:rsid w:val="0087636D"/>
    <w:rsid w:val="008A45D9"/>
    <w:rsid w:val="008B246D"/>
    <w:rsid w:val="008B53CA"/>
    <w:rsid w:val="008D14F9"/>
    <w:rsid w:val="008F203E"/>
    <w:rsid w:val="008F73A3"/>
    <w:rsid w:val="00905BC9"/>
    <w:rsid w:val="00905E82"/>
    <w:rsid w:val="0092377E"/>
    <w:rsid w:val="00927CF6"/>
    <w:rsid w:val="0094708F"/>
    <w:rsid w:val="009824D8"/>
    <w:rsid w:val="009B2370"/>
    <w:rsid w:val="009B3289"/>
    <w:rsid w:val="009C1054"/>
    <w:rsid w:val="009C542B"/>
    <w:rsid w:val="009D5804"/>
    <w:rsid w:val="009F413F"/>
    <w:rsid w:val="00A0233D"/>
    <w:rsid w:val="00A05CD5"/>
    <w:rsid w:val="00A31D8C"/>
    <w:rsid w:val="00A4205F"/>
    <w:rsid w:val="00A44034"/>
    <w:rsid w:val="00A459C8"/>
    <w:rsid w:val="00A55D5E"/>
    <w:rsid w:val="00A620A3"/>
    <w:rsid w:val="00A86F93"/>
    <w:rsid w:val="00AA3E5D"/>
    <w:rsid w:val="00AD29C0"/>
    <w:rsid w:val="00AF5A1A"/>
    <w:rsid w:val="00B04F23"/>
    <w:rsid w:val="00B12B84"/>
    <w:rsid w:val="00B15F79"/>
    <w:rsid w:val="00B17CB5"/>
    <w:rsid w:val="00B212A5"/>
    <w:rsid w:val="00B216B7"/>
    <w:rsid w:val="00B42150"/>
    <w:rsid w:val="00B43F52"/>
    <w:rsid w:val="00B457A7"/>
    <w:rsid w:val="00B45E52"/>
    <w:rsid w:val="00B4705C"/>
    <w:rsid w:val="00B62678"/>
    <w:rsid w:val="00B648F3"/>
    <w:rsid w:val="00B70375"/>
    <w:rsid w:val="00B77108"/>
    <w:rsid w:val="00B814FA"/>
    <w:rsid w:val="00B9557F"/>
    <w:rsid w:val="00BA1862"/>
    <w:rsid w:val="00BF5CB8"/>
    <w:rsid w:val="00C00601"/>
    <w:rsid w:val="00C15CDE"/>
    <w:rsid w:val="00C34EBC"/>
    <w:rsid w:val="00C4146A"/>
    <w:rsid w:val="00C55091"/>
    <w:rsid w:val="00C642DD"/>
    <w:rsid w:val="00C64E34"/>
    <w:rsid w:val="00C74FEC"/>
    <w:rsid w:val="00C8626E"/>
    <w:rsid w:val="00C93A29"/>
    <w:rsid w:val="00CA2C12"/>
    <w:rsid w:val="00CC37A7"/>
    <w:rsid w:val="00CD5115"/>
    <w:rsid w:val="00CE44AE"/>
    <w:rsid w:val="00D065E9"/>
    <w:rsid w:val="00D16C04"/>
    <w:rsid w:val="00D529BF"/>
    <w:rsid w:val="00D641E6"/>
    <w:rsid w:val="00D72BD7"/>
    <w:rsid w:val="00D76726"/>
    <w:rsid w:val="00D97208"/>
    <w:rsid w:val="00DC01FF"/>
    <w:rsid w:val="00DD6B80"/>
    <w:rsid w:val="00DD72D7"/>
    <w:rsid w:val="00DE3817"/>
    <w:rsid w:val="00E01E38"/>
    <w:rsid w:val="00E03960"/>
    <w:rsid w:val="00E06B26"/>
    <w:rsid w:val="00E22E23"/>
    <w:rsid w:val="00E263BC"/>
    <w:rsid w:val="00E56588"/>
    <w:rsid w:val="00E642DA"/>
    <w:rsid w:val="00E741C7"/>
    <w:rsid w:val="00E81610"/>
    <w:rsid w:val="00E91856"/>
    <w:rsid w:val="00ED47B6"/>
    <w:rsid w:val="00EE7058"/>
    <w:rsid w:val="00F15D49"/>
    <w:rsid w:val="00F5078F"/>
    <w:rsid w:val="00F507B9"/>
    <w:rsid w:val="00F52C89"/>
    <w:rsid w:val="00F538AE"/>
    <w:rsid w:val="00F87AB5"/>
    <w:rsid w:val="00FA2C0B"/>
    <w:rsid w:val="00FA4F7E"/>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6BE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347"/>
    <w:pPr>
      <w:ind w:left="720"/>
      <w:contextualSpacing/>
    </w:pPr>
  </w:style>
  <w:style w:type="character" w:styleId="CommentReference">
    <w:name w:val="annotation reference"/>
    <w:basedOn w:val="DefaultParagraphFont"/>
    <w:rsid w:val="000336DA"/>
    <w:rPr>
      <w:sz w:val="16"/>
      <w:szCs w:val="16"/>
    </w:rPr>
  </w:style>
  <w:style w:type="paragraph" w:styleId="CommentText">
    <w:name w:val="annotation text"/>
    <w:basedOn w:val="Normal"/>
    <w:link w:val="CommentTextChar"/>
    <w:rsid w:val="000336DA"/>
  </w:style>
  <w:style w:type="character" w:customStyle="1" w:styleId="CommentTextChar">
    <w:name w:val="Comment Text Char"/>
    <w:basedOn w:val="DefaultParagraphFont"/>
    <w:link w:val="CommentText"/>
    <w:rsid w:val="000336DA"/>
  </w:style>
  <w:style w:type="paragraph" w:styleId="CommentSubject">
    <w:name w:val="annotation subject"/>
    <w:basedOn w:val="CommentText"/>
    <w:next w:val="CommentText"/>
    <w:link w:val="CommentSubjectChar"/>
    <w:rsid w:val="000336DA"/>
    <w:rPr>
      <w:b/>
      <w:bCs/>
    </w:rPr>
  </w:style>
  <w:style w:type="character" w:customStyle="1" w:styleId="CommentSubjectChar">
    <w:name w:val="Comment Subject Char"/>
    <w:basedOn w:val="CommentTextChar"/>
    <w:link w:val="CommentSubject"/>
    <w:rsid w:val="000336DA"/>
    <w:rPr>
      <w:b/>
      <w:bCs/>
    </w:rPr>
  </w:style>
  <w:style w:type="paragraph" w:styleId="BalloonText">
    <w:name w:val="Balloon Text"/>
    <w:basedOn w:val="Normal"/>
    <w:link w:val="BalloonTextChar"/>
    <w:rsid w:val="000336DA"/>
    <w:rPr>
      <w:rFonts w:ascii="Tahoma" w:hAnsi="Tahoma" w:cs="Tahoma"/>
      <w:sz w:val="16"/>
      <w:szCs w:val="16"/>
    </w:rPr>
  </w:style>
  <w:style w:type="character" w:customStyle="1" w:styleId="BalloonTextChar">
    <w:name w:val="Balloon Text Char"/>
    <w:basedOn w:val="DefaultParagraphFont"/>
    <w:link w:val="BalloonText"/>
    <w:rsid w:val="00033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347"/>
    <w:pPr>
      <w:ind w:left="720"/>
      <w:contextualSpacing/>
    </w:pPr>
  </w:style>
  <w:style w:type="character" w:styleId="CommentReference">
    <w:name w:val="annotation reference"/>
    <w:basedOn w:val="DefaultParagraphFont"/>
    <w:rsid w:val="000336DA"/>
    <w:rPr>
      <w:sz w:val="16"/>
      <w:szCs w:val="16"/>
    </w:rPr>
  </w:style>
  <w:style w:type="paragraph" w:styleId="CommentText">
    <w:name w:val="annotation text"/>
    <w:basedOn w:val="Normal"/>
    <w:link w:val="CommentTextChar"/>
    <w:rsid w:val="000336DA"/>
  </w:style>
  <w:style w:type="character" w:customStyle="1" w:styleId="CommentTextChar">
    <w:name w:val="Comment Text Char"/>
    <w:basedOn w:val="DefaultParagraphFont"/>
    <w:link w:val="CommentText"/>
    <w:rsid w:val="000336DA"/>
  </w:style>
  <w:style w:type="paragraph" w:styleId="CommentSubject">
    <w:name w:val="annotation subject"/>
    <w:basedOn w:val="CommentText"/>
    <w:next w:val="CommentText"/>
    <w:link w:val="CommentSubjectChar"/>
    <w:rsid w:val="000336DA"/>
    <w:rPr>
      <w:b/>
      <w:bCs/>
    </w:rPr>
  </w:style>
  <w:style w:type="character" w:customStyle="1" w:styleId="CommentSubjectChar">
    <w:name w:val="Comment Subject Char"/>
    <w:basedOn w:val="CommentTextChar"/>
    <w:link w:val="CommentSubject"/>
    <w:rsid w:val="000336DA"/>
    <w:rPr>
      <w:b/>
      <w:bCs/>
    </w:rPr>
  </w:style>
  <w:style w:type="paragraph" w:styleId="BalloonText">
    <w:name w:val="Balloon Text"/>
    <w:basedOn w:val="Normal"/>
    <w:link w:val="BalloonTextChar"/>
    <w:rsid w:val="000336DA"/>
    <w:rPr>
      <w:rFonts w:ascii="Tahoma" w:hAnsi="Tahoma" w:cs="Tahoma"/>
      <w:sz w:val="16"/>
      <w:szCs w:val="16"/>
    </w:rPr>
  </w:style>
  <w:style w:type="character" w:customStyle="1" w:styleId="BalloonTextChar">
    <w:name w:val="Balloon Text Char"/>
    <w:basedOn w:val="DefaultParagraphFont"/>
    <w:link w:val="BalloonText"/>
    <w:rsid w:val="00033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833835639">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2015-02-22T21:37:00Z</dcterms:created>
  <dcterms:modified xsi:type="dcterms:W3CDTF">2015-02-22T22:11:00Z</dcterms:modified>
</cp:coreProperties>
</file>