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A8070" w14:textId="77777777" w:rsidR="000C70AE" w:rsidRDefault="009018A9">
      <w:r>
        <w:t>BIOST 518</w:t>
      </w:r>
    </w:p>
    <w:p w14:paraId="5B4E199C" w14:textId="77777777" w:rsidR="009018A9" w:rsidRDefault="009018A9">
      <w:r>
        <w:t>HW #</w:t>
      </w:r>
      <w:commentRangeStart w:id="0"/>
      <w:r>
        <w:t>4</w:t>
      </w:r>
      <w:commentRangeEnd w:id="0"/>
      <w:r w:rsidR="00C2622A">
        <w:rPr>
          <w:rStyle w:val="CommentReference"/>
        </w:rPr>
        <w:commentReference w:id="0"/>
      </w:r>
    </w:p>
    <w:p w14:paraId="5E39561A" w14:textId="77777777" w:rsidR="008F0D90" w:rsidRDefault="009018A9" w:rsidP="00896588">
      <w:r>
        <w:t xml:space="preserve">1. </w:t>
      </w:r>
      <w:commentRangeStart w:id="2"/>
      <w:r>
        <w:t>Methods</w:t>
      </w:r>
      <w:commentRangeEnd w:id="2"/>
      <w:r w:rsidR="00A865B4">
        <w:rPr>
          <w:rStyle w:val="CommentReference"/>
        </w:rPr>
        <w:commentReference w:id="2"/>
      </w:r>
      <w:r>
        <w:t xml:space="preserve">: </w:t>
      </w:r>
      <w:r w:rsidR="009B3086">
        <w:t>The dataset used for this</w:t>
      </w:r>
      <w:r w:rsidR="00077722">
        <w:t xml:space="preserve"> assignment comes from patients </w:t>
      </w:r>
      <w:r w:rsidR="00E3009B">
        <w:t xml:space="preserve">with primary biliary cirrhosis </w:t>
      </w:r>
      <w:r w:rsidR="009B3086">
        <w:t xml:space="preserve">enrolled </w:t>
      </w:r>
      <w:r w:rsidR="00077722">
        <w:t xml:space="preserve">to </w:t>
      </w:r>
      <w:r w:rsidR="009B3086" w:rsidRPr="009B3086">
        <w:t>randomized clinical trial (RCT) of D-penicillamine</w:t>
      </w:r>
      <w:r w:rsidR="00077722">
        <w:t xml:space="preserve">. </w:t>
      </w:r>
      <w:r w:rsidR="00E3009B">
        <w:t xml:space="preserve">We are </w:t>
      </w:r>
      <w:r w:rsidR="009509F1">
        <w:t>interested on the association between death from any cause and age, gender and serum bilirubin</w:t>
      </w:r>
      <w:r w:rsidR="00E3009B">
        <w:t xml:space="preserve">. It is for note that this dataset comes from patients with different levels of hepatic function measured by </w:t>
      </w:r>
      <w:r w:rsidR="005B49C6">
        <w:t>bilirubin</w:t>
      </w:r>
      <w:r w:rsidR="00E3009B">
        <w:t xml:space="preserve"> levels. </w:t>
      </w:r>
      <w:r w:rsidR="008F0D90">
        <w:t>And i</w:t>
      </w:r>
      <w:r w:rsidR="00E3009B">
        <w:t>t is expected that bilirubin levels</w:t>
      </w:r>
      <w:r w:rsidR="008F0D90">
        <w:t xml:space="preserve"> in mg/dl</w:t>
      </w:r>
      <w:r w:rsidR="00E3009B">
        <w:t xml:space="preserve"> would be related to death rate in </w:t>
      </w:r>
      <w:r w:rsidR="008F0D90">
        <w:t>a</w:t>
      </w:r>
      <w:r w:rsidR="00E3009B">
        <w:t xml:space="preserve"> mu</w:t>
      </w:r>
      <w:r w:rsidR="008F0D90">
        <w:t>ltiplicative association; arbitrarily I use below 1, between 1 inclusive and 2, between 2 inclusive and 4, between 4 inclusive and 8, between 8 inclusive and 16 and finally between 16 inclusive and 28 inclusive.</w:t>
      </w:r>
    </w:p>
    <w:p w14:paraId="58A91AE1" w14:textId="77777777" w:rsidR="004526A3" w:rsidRDefault="008F0D90" w:rsidP="00896588">
      <w:r>
        <w:t>Per each level of bilirubin categorized d</w:t>
      </w:r>
      <w:r w:rsidR="00E3009B">
        <w:t xml:space="preserve">escriptives </w:t>
      </w:r>
      <w:r>
        <w:t>for continuous variables (mean, standard deviation, mi</w:t>
      </w:r>
      <w:r w:rsidR="004B00F3">
        <w:t>nimum and maximum) are computed and</w:t>
      </w:r>
      <w:r>
        <w:t xml:space="preserve"> frequencies are used to </w:t>
      </w:r>
      <w:r w:rsidR="004B00F3">
        <w:t xml:space="preserve">gender, death status and trial arm. As time to </w:t>
      </w:r>
      <w:r w:rsidR="009C46A9">
        <w:t xml:space="preserve">death is a censored variable </w:t>
      </w:r>
      <w:r w:rsidR="004B00F3">
        <w:t>Kaplan-Meier estimates are used to obtain the 10</w:t>
      </w:r>
      <w:r w:rsidR="004B00F3" w:rsidRPr="004B00F3">
        <w:rPr>
          <w:vertAlign w:val="superscript"/>
        </w:rPr>
        <w:t>th</w:t>
      </w:r>
      <w:r w:rsidR="004B00F3">
        <w:t>, 20</w:t>
      </w:r>
      <w:r w:rsidR="004B00F3" w:rsidRPr="004B00F3">
        <w:rPr>
          <w:vertAlign w:val="superscript"/>
        </w:rPr>
        <w:t>th</w:t>
      </w:r>
      <w:r w:rsidR="004B00F3">
        <w:t xml:space="preserve"> and 50</w:t>
      </w:r>
      <w:r w:rsidR="004B00F3" w:rsidRPr="004B00F3">
        <w:rPr>
          <w:vertAlign w:val="superscript"/>
        </w:rPr>
        <w:t>th</w:t>
      </w:r>
      <w:r w:rsidR="004B00F3">
        <w:t xml:space="preserve"> (median) percentile survival time and 2, 5 and 10 years survival probabilities per each level of bilirubin categorized.</w:t>
      </w:r>
      <w:r w:rsidR="00D66EA2">
        <w:t xml:space="preserve">  </w:t>
      </w:r>
    </w:p>
    <w:p w14:paraId="6A79181B" w14:textId="77777777" w:rsidR="00D66EA2" w:rsidRDefault="004526A3" w:rsidP="00896588">
      <w:r>
        <w:t>Originally</w:t>
      </w:r>
      <w:r w:rsidR="00D66EA2">
        <w:t xml:space="preserve"> tim</w:t>
      </w:r>
      <w:r>
        <w:t>e to death or censoring was in days. It has been converted to years by dividing by 365.25.</w:t>
      </w:r>
    </w:p>
    <w:p w14:paraId="429EB301" w14:textId="77777777" w:rsidR="009C46A9" w:rsidRDefault="004526A3" w:rsidP="00896588">
      <w:r>
        <w:t>Results:</w:t>
      </w:r>
      <w:r w:rsidR="002344F7">
        <w:t xml:space="preserve"> The dataset contains 418 records</w:t>
      </w:r>
      <w:r w:rsidR="007B3CA8">
        <w:t xml:space="preserve"> (refer to table 1)</w:t>
      </w:r>
      <w:r w:rsidR="002344F7">
        <w:t xml:space="preserve">. </w:t>
      </w:r>
      <w:r w:rsidR="007B3CA8">
        <w:t>Gender was</w:t>
      </w:r>
      <w:r w:rsidR="002344F7">
        <w:t xml:space="preserve"> missing information in 106 (25.4%) records and treatment arm on 108 (25.8%) records.</w:t>
      </w:r>
      <w:r w:rsidR="005B49C6">
        <w:t xml:space="preserve"> Bilirubin</w:t>
      </w:r>
      <w:r w:rsidR="007B3CA8">
        <w:t xml:space="preserve"> </w:t>
      </w:r>
      <w:r w:rsidR="0030408D">
        <w:t>levels</w:t>
      </w:r>
      <w:r w:rsidR="001543FE">
        <w:t xml:space="preserve"> at enrollment</w:t>
      </w:r>
      <w:r w:rsidR="0030408D">
        <w:t xml:space="preserve"> </w:t>
      </w:r>
      <w:r w:rsidR="00670E5E">
        <w:t xml:space="preserve">in mg/dl </w:t>
      </w:r>
      <w:r w:rsidR="007B3CA8">
        <w:t xml:space="preserve">varied between </w:t>
      </w:r>
      <w:r w:rsidR="00670E5E">
        <w:t xml:space="preserve">0.3 and 28.0, </w:t>
      </w:r>
      <w:r w:rsidR="000E62D5">
        <w:t>had</w:t>
      </w:r>
      <w:r w:rsidR="00670E5E">
        <w:t xml:space="preserve"> mean 3.22</w:t>
      </w:r>
      <w:r w:rsidR="000E62D5">
        <w:t xml:space="preserve"> </w:t>
      </w:r>
      <w:r w:rsidR="00670E5E">
        <w:t>a</w:t>
      </w:r>
      <w:r w:rsidR="000E62D5">
        <w:t>nd a</w:t>
      </w:r>
      <w:r w:rsidR="00670E5E">
        <w:t xml:space="preserve"> standard deviation 4.408</w:t>
      </w:r>
      <w:r w:rsidR="000E62D5">
        <w:t xml:space="preserve"> showing a skewness to the right. Age</w:t>
      </w:r>
      <w:r w:rsidR="00355550">
        <w:t xml:space="preserve"> at enrollment</w:t>
      </w:r>
      <w:r w:rsidR="000E62D5">
        <w:t xml:space="preserve"> in years ranged between 26.3 an</w:t>
      </w:r>
      <w:r w:rsidR="00F81A6F">
        <w:t xml:space="preserve">d 78.4 years, had mean 50.7, </w:t>
      </w:r>
      <w:r w:rsidR="000E62D5">
        <w:t>standard deviation 10.45</w:t>
      </w:r>
      <w:r w:rsidR="00F81A6F">
        <w:t xml:space="preserve"> and did not vary appr</w:t>
      </w:r>
      <w:r w:rsidR="005B49C6">
        <w:t>eciably per levels of bilirubin</w:t>
      </w:r>
      <w:r w:rsidR="00F81A6F">
        <w:t>.</w:t>
      </w:r>
      <w:r w:rsidR="00355550">
        <w:t xml:space="preserve"> About two thirds (66.0%) of all sample were females and did not vary appreciable</w:t>
      </w:r>
      <w:r w:rsidR="005B49C6">
        <w:t xml:space="preserve"> per bilirubin</w:t>
      </w:r>
      <w:r w:rsidR="003033A0">
        <w:t xml:space="preserve"> levels.</w:t>
      </w:r>
      <w:r w:rsidR="009C46A9">
        <w:t xml:space="preserve"> </w:t>
      </w:r>
    </w:p>
    <w:p w14:paraId="5D45F61E" w14:textId="77777777" w:rsidR="0030408D" w:rsidRDefault="009C46A9" w:rsidP="00896588">
      <w:r>
        <w:t>The 2, 5 and 10 years survival probability was respectively 88.0, 70.3 and 44.2% and important worse pattern when transitioning from lowe</w:t>
      </w:r>
      <w:r w:rsidR="0022049B">
        <w:t>r to higher levels of bilirubin</w:t>
      </w:r>
      <w:r>
        <w:t xml:space="preserve"> levels. Also t</w:t>
      </w:r>
      <w:r w:rsidR="003C1F89">
        <w:t>he median survival time per increased levels of bilirubin</w:t>
      </w:r>
      <w:r>
        <w:t xml:space="preserve"> shows similar pattern varying from </w:t>
      </w:r>
      <w:r w:rsidR="003C1F89">
        <w:t>above follow up time (13.13 years) on below 1mg/dl to 2.16 years in 8-16mg/dl group.</w:t>
      </w:r>
    </w:p>
    <w:p w14:paraId="5FFFC50C" w14:textId="77777777" w:rsidR="00B46CE9" w:rsidRDefault="00EF2877" w:rsidP="00896588">
      <w:r>
        <w:t>Figure 1 suggests association between male and survival probability and also association between increasing age and survival probability.</w:t>
      </w:r>
    </w:p>
    <w:p w14:paraId="723749A1" w14:textId="77777777" w:rsidR="00B46CE9" w:rsidRDefault="00B46CE9" w:rsidP="00896588">
      <w:r>
        <w:t>It is for note that the female were average 6.99 years old younger than males with means of 49.21 (SD=10.206) and 56.20 (SD = 11.487) years old respectively.</w:t>
      </w:r>
    </w:p>
    <w:p w14:paraId="4E109162" w14:textId="77777777" w:rsidR="00B46CE9" w:rsidRDefault="00B46CE9" w:rsidP="00896588">
      <w:pPr>
        <w:sectPr w:rsidR="00B46CE9" w:rsidSect="000E418C">
          <w:pgSz w:w="12240" w:h="15840"/>
          <w:pgMar w:top="720" w:right="720" w:bottom="720" w:left="720" w:header="720" w:footer="720" w:gutter="0"/>
          <w:cols w:space="720"/>
          <w:docGrid w:linePitch="360"/>
        </w:sectPr>
      </w:pPr>
    </w:p>
    <w:p w14:paraId="6CA64C04" w14:textId="77777777" w:rsidR="000E418C" w:rsidRDefault="00DB54DF" w:rsidP="00896588">
      <w:r>
        <w:lastRenderedPageBreak/>
        <w:t>Table 1 – Descriptives per levels of bilirubine</w:t>
      </w:r>
    </w:p>
    <w:p w14:paraId="42BF397A" w14:textId="77777777" w:rsidR="00DB54DF" w:rsidRDefault="0030408D" w:rsidP="0030408D">
      <w:pPr>
        <w:jc w:val="center"/>
      </w:pPr>
      <w:r w:rsidRPr="0030408D">
        <w:rPr>
          <w:noProof/>
          <w:lang w:eastAsia="zh-CN"/>
        </w:rPr>
        <w:drawing>
          <wp:inline distT="0" distB="0" distL="0" distR="0" wp14:anchorId="7E4B4C04" wp14:editId="29B03163">
            <wp:extent cx="9504000" cy="2889649"/>
            <wp:effectExtent l="19050" t="0" r="19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9503290" cy="2888055"/>
                    </a:xfrm>
                    <a:prstGeom prst="rect">
                      <a:avLst/>
                    </a:prstGeom>
                    <a:noFill/>
                    <a:ln w="9525">
                      <a:noFill/>
                      <a:miter lim="800000"/>
                      <a:headEnd/>
                      <a:tailEnd/>
                    </a:ln>
                  </pic:spPr>
                </pic:pic>
              </a:graphicData>
            </a:graphic>
          </wp:inline>
        </w:drawing>
      </w:r>
    </w:p>
    <w:p w14:paraId="3D0CD942" w14:textId="77777777" w:rsidR="002703D6" w:rsidRDefault="002703D6">
      <w:r>
        <w:rPr>
          <w:noProof/>
          <w:lang w:eastAsia="zh-CN"/>
        </w:rPr>
        <w:drawing>
          <wp:inline distT="0" distB="0" distL="0" distR="0" wp14:anchorId="67636739" wp14:editId="6B7BE1C0">
            <wp:extent cx="3712193" cy="2697441"/>
            <wp:effectExtent l="19050" t="0" r="2557" b="0"/>
            <wp:docPr id="2" name="Picture 1" descr="q1_gen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_gender.tif"/>
                    <pic:cNvPicPr/>
                  </pic:nvPicPr>
                  <pic:blipFill>
                    <a:blip r:embed="rId7"/>
                    <a:stretch>
                      <a:fillRect/>
                    </a:stretch>
                  </pic:blipFill>
                  <pic:spPr>
                    <a:xfrm>
                      <a:off x="0" y="0"/>
                      <a:ext cx="3713055" cy="2698067"/>
                    </a:xfrm>
                    <a:prstGeom prst="rect">
                      <a:avLst/>
                    </a:prstGeom>
                  </pic:spPr>
                </pic:pic>
              </a:graphicData>
            </a:graphic>
          </wp:inline>
        </w:drawing>
      </w:r>
      <w:r w:rsidR="00104920">
        <w:rPr>
          <w:noProof/>
          <w:lang w:eastAsia="zh-CN"/>
        </w:rPr>
        <w:drawing>
          <wp:inline distT="0" distB="0" distL="0" distR="0" wp14:anchorId="0A90801C" wp14:editId="648F614D">
            <wp:extent cx="3669235" cy="2666226"/>
            <wp:effectExtent l="19050" t="0" r="7415" b="0"/>
            <wp:docPr id="4" name="Picture 2" descr="q1_agec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_agecat.tif"/>
                    <pic:cNvPicPr/>
                  </pic:nvPicPr>
                  <pic:blipFill>
                    <a:blip r:embed="rId8"/>
                    <a:stretch>
                      <a:fillRect/>
                    </a:stretch>
                  </pic:blipFill>
                  <pic:spPr>
                    <a:xfrm>
                      <a:off x="0" y="0"/>
                      <a:ext cx="3668519" cy="2665705"/>
                    </a:xfrm>
                    <a:prstGeom prst="rect">
                      <a:avLst/>
                    </a:prstGeom>
                  </pic:spPr>
                </pic:pic>
              </a:graphicData>
            </a:graphic>
          </wp:inline>
        </w:drawing>
      </w:r>
    </w:p>
    <w:p w14:paraId="30F78DF2" w14:textId="77777777" w:rsidR="002703D6" w:rsidRDefault="002703D6">
      <w:r>
        <w:t>Figure 1 – Survival by gender</w:t>
      </w:r>
      <w:r w:rsidR="00104920">
        <w:t xml:space="preserve"> </w:t>
      </w:r>
      <w:r w:rsidR="00FF28D8">
        <w:t>left</w:t>
      </w:r>
      <w:r w:rsidR="00104920">
        <w:t xml:space="preserve"> and by 10 years age category (right).</w:t>
      </w:r>
    </w:p>
    <w:p w14:paraId="240D5601" w14:textId="77777777" w:rsidR="0030408D" w:rsidRDefault="0030408D">
      <w:r>
        <w:br w:type="page"/>
      </w:r>
    </w:p>
    <w:p w14:paraId="2EA93D14" w14:textId="77777777" w:rsidR="003B0B70" w:rsidRDefault="003B0B70">
      <w:pPr>
        <w:sectPr w:rsidR="003B0B70" w:rsidSect="0030408D">
          <w:pgSz w:w="15840" w:h="12240" w:orient="landscape"/>
          <w:pgMar w:top="720" w:right="720" w:bottom="720" w:left="720" w:header="720" w:footer="720" w:gutter="0"/>
          <w:cols w:space="720"/>
          <w:docGrid w:linePitch="360"/>
        </w:sectPr>
      </w:pPr>
    </w:p>
    <w:p w14:paraId="2D990481" w14:textId="77777777" w:rsidR="003F46F1" w:rsidRDefault="001427F8">
      <w:r>
        <w:lastRenderedPageBreak/>
        <w:t xml:space="preserve">2. </w:t>
      </w:r>
      <w:r w:rsidR="006A584A">
        <w:t xml:space="preserve">They </w:t>
      </w:r>
      <w:commentRangeStart w:id="3"/>
      <w:r w:rsidR="006A584A">
        <w:t>manage</w:t>
      </w:r>
      <w:r w:rsidR="00496AE5">
        <w:t>d</w:t>
      </w:r>
      <w:commentRangeEnd w:id="3"/>
      <w:r w:rsidR="00A865B4">
        <w:rPr>
          <w:rStyle w:val="CommentReference"/>
        </w:rPr>
        <w:commentReference w:id="3"/>
      </w:r>
      <w:r w:rsidR="006A584A">
        <w:t xml:space="preserve"> to ascertain</w:t>
      </w:r>
      <w:r w:rsidR="00077722">
        <w:t xml:space="preserve"> </w:t>
      </w:r>
      <w:r w:rsidR="00A5794D">
        <w:t xml:space="preserve">the </w:t>
      </w:r>
      <w:r w:rsidR="006A584A">
        <w:t xml:space="preserve">death </w:t>
      </w:r>
      <w:r w:rsidR="00A5794D">
        <w:t>outcome on all subjects</w:t>
      </w:r>
      <w:r w:rsidR="006A584A">
        <w:t xml:space="preserve"> only </w:t>
      </w:r>
      <w:r w:rsidR="00A5794D">
        <w:t>up to</w:t>
      </w:r>
      <w:r w:rsidR="00077722">
        <w:t xml:space="preserve"> 1.46</w:t>
      </w:r>
      <w:r w:rsidR="00A5794D">
        <w:t xml:space="preserve"> years which </w:t>
      </w:r>
      <w:r w:rsidR="003276DD">
        <w:t xml:space="preserve">is </w:t>
      </w:r>
      <w:r w:rsidR="00A5794D">
        <w:t xml:space="preserve">below </w:t>
      </w:r>
      <w:r w:rsidR="006A584A">
        <w:t>10</w:t>
      </w:r>
      <w:r w:rsidR="006A584A" w:rsidRPr="006A584A">
        <w:rPr>
          <w:vertAlign w:val="superscript"/>
        </w:rPr>
        <w:t>th</w:t>
      </w:r>
      <w:r w:rsidR="006A584A">
        <w:t xml:space="preserve"> percentile (1.67years) </w:t>
      </w:r>
      <w:r w:rsidR="00A5794D">
        <w:t>of follow up</w:t>
      </w:r>
      <w:r w:rsidR="006A584A">
        <w:t xml:space="preserve"> time and only 36/161</w:t>
      </w:r>
      <w:r w:rsidR="003F46F1">
        <w:t xml:space="preserve"> deaths would have been counted</w:t>
      </w:r>
      <w:r w:rsidR="00A5794D">
        <w:t xml:space="preserve">. </w:t>
      </w:r>
      <w:r w:rsidR="003F46F1">
        <w:t>Up to this point of time a logistic regression would be used to study the association of predictors in interest with all mortality with first 1.46 years of follow up.</w:t>
      </w:r>
    </w:p>
    <w:p w14:paraId="624E9357" w14:textId="77777777" w:rsidR="003F46F1" w:rsidRDefault="005A0B8B">
      <w:r>
        <w:t xml:space="preserve">After that point we have censored information. </w:t>
      </w:r>
      <w:r w:rsidR="003F46F1">
        <w:t>Logistic regression can’t manage the censoring information. So the analysis would be invalid.</w:t>
      </w:r>
    </w:p>
    <w:p w14:paraId="7B775F92" w14:textId="77777777" w:rsidR="00973258" w:rsidRDefault="000A717E" w:rsidP="00973258">
      <w:r>
        <w:t xml:space="preserve">3.a) </w:t>
      </w:r>
      <w:r w:rsidR="00973258">
        <w:t xml:space="preserve">Methods: a Cox proportional-hazards regression </w:t>
      </w:r>
      <w:r w:rsidR="00672353">
        <w:t xml:space="preserve">with </w:t>
      </w:r>
      <w:r w:rsidR="00672353" w:rsidRPr="00A865B4">
        <w:rPr>
          <w:b/>
        </w:rPr>
        <w:t>robust standard errors</w:t>
      </w:r>
      <w:r w:rsidR="00672353">
        <w:t xml:space="preserve"> </w:t>
      </w:r>
      <w:r w:rsidR="00973258">
        <w:t>is used to compare the distribution of time to any cause of death across groups defined by serum bilirubin levels.</w:t>
      </w:r>
      <w:r w:rsidR="00672353">
        <w:t xml:space="preserve"> Bilirubin is modeled as continuous untransformed variable and </w:t>
      </w:r>
      <w:r w:rsidR="00453BDD">
        <w:t xml:space="preserve">the hazard </w:t>
      </w:r>
      <w:r w:rsidR="00672353">
        <w:t xml:space="preserve">ratio </w:t>
      </w:r>
      <w:r w:rsidR="00206BF3">
        <w:t xml:space="preserve">from the model </w:t>
      </w:r>
      <w:r w:rsidR="00672353">
        <w:t>is used to quantify the association</w:t>
      </w:r>
      <w:r w:rsidR="00206BF3">
        <w:t xml:space="preserve"> </w:t>
      </w:r>
      <w:r w:rsidR="00A4345A">
        <w:t>and its 95% confidence interval</w:t>
      </w:r>
      <w:r w:rsidR="00206BF3">
        <w:t xml:space="preserve"> and </w:t>
      </w:r>
      <w:r w:rsidR="00047D1D">
        <w:t xml:space="preserve">two-sided </w:t>
      </w:r>
      <w:r w:rsidR="00206BF3">
        <w:t xml:space="preserve">p-values </w:t>
      </w:r>
      <w:r w:rsidR="00047D1D">
        <w:t xml:space="preserve">computed </w:t>
      </w:r>
      <w:r w:rsidR="00206BF3">
        <w:t>from Wald</w:t>
      </w:r>
      <w:r w:rsidR="00047D1D">
        <w:t xml:space="preserve"> statistics</w:t>
      </w:r>
      <w:r w:rsidR="00206BF3">
        <w:t xml:space="preserve"> are also reported. The significance level is set to 5%.</w:t>
      </w:r>
    </w:p>
    <w:p w14:paraId="2D9A649E" w14:textId="77777777" w:rsidR="00E34A1F" w:rsidRDefault="00206BF3">
      <w:r>
        <w:t xml:space="preserve">Results: </w:t>
      </w:r>
      <w:r w:rsidR="00A45404">
        <w:t>All 418 subjects in the dataset contributed to 161 events on total 2194.75 person-years. There is 15.2% relative higher</w:t>
      </w:r>
      <w:r w:rsidR="00453BDD">
        <w:t xml:space="preserve"> (hazard ratio 1.152)</w:t>
      </w:r>
      <w:r w:rsidR="00A45404">
        <w:t xml:space="preserve"> instantaneous risk of death associated with each 1mg/dl higher serum bilirubin level at enrollment. </w:t>
      </w:r>
      <w:r w:rsidR="00900FFA">
        <w:t>The observed hazard</w:t>
      </w:r>
      <w:r w:rsidR="00453BDD">
        <w:t xml:space="preserve"> ratio wouldn’t be unusual to lie between </w:t>
      </w:r>
      <w:commentRangeStart w:id="4"/>
      <w:r w:rsidR="00453BDD">
        <w:t>1.121 and 1.185</w:t>
      </w:r>
      <w:commentRangeEnd w:id="4"/>
      <w:r w:rsidR="00A865B4">
        <w:rPr>
          <w:rStyle w:val="CommentReference"/>
        </w:rPr>
        <w:commentReference w:id="4"/>
      </w:r>
      <w:r w:rsidR="00453BDD">
        <w:t xml:space="preserve"> and we reject the null hypothesis of being equal to 1 with p-value below 0.001.</w:t>
      </w:r>
    </w:p>
    <w:p w14:paraId="1712CF8D" w14:textId="77777777" w:rsidR="00B80641" w:rsidRDefault="000A717E" w:rsidP="00B80641">
      <w:r>
        <w:t>3.b)</w:t>
      </w:r>
      <w:r w:rsidR="00B80641">
        <w:t xml:space="preserve"> Methods: a Cox proportional-hazards regression with robust standard errors is used to compare the distribution of time to any cause of death across groups defined by serum bilirubin levels. Bilirubin is modeled as continuous </w:t>
      </w:r>
      <w:r w:rsidR="00883AC7">
        <w:t>variable centered</w:t>
      </w:r>
      <w:r w:rsidR="00B80641">
        <w:t xml:space="preserve"> at 1</w:t>
      </w:r>
      <w:r w:rsidR="00B24890">
        <w:t xml:space="preserve">. Fitted hazard ratios are computed from the model </w:t>
      </w:r>
      <w:r w:rsidR="005B49C6">
        <w:t>for each</w:t>
      </w:r>
      <w:r w:rsidR="00B24890">
        <w:t xml:space="preserve"> record on the dataset.</w:t>
      </w:r>
    </w:p>
    <w:p w14:paraId="47B11902" w14:textId="77777777" w:rsidR="00A26F1E" w:rsidRDefault="00A26F1E" w:rsidP="00B80641">
      <w:r>
        <w:t xml:space="preserve">Results: </w:t>
      </w:r>
      <w:r w:rsidR="00AF75B0">
        <w:t>The fitted</w:t>
      </w:r>
      <w:r>
        <w:t xml:space="preserve"> are presented on answer to question 6.</w:t>
      </w:r>
    </w:p>
    <w:p w14:paraId="701931D3" w14:textId="77777777" w:rsidR="00EE4720" w:rsidRDefault="00BF3626" w:rsidP="00BF3626">
      <w:r>
        <w:t>4.</w:t>
      </w:r>
      <w:commentRangeStart w:id="5"/>
      <w:r w:rsidR="001F2847">
        <w:t>a</w:t>
      </w:r>
      <w:commentRangeEnd w:id="5"/>
      <w:r w:rsidR="00A865B4">
        <w:rPr>
          <w:rStyle w:val="CommentReference"/>
        </w:rPr>
        <w:commentReference w:id="5"/>
      </w:r>
      <w:r w:rsidR="001F2847">
        <w:t xml:space="preserve">) </w:t>
      </w:r>
      <w:r w:rsidR="00AF09C9">
        <w:t>Although this dataset isn’t from non healthier subjects I still expected that the liver to excrete bilirubin using the same enzymatic process but with different uptake level according to gravity of liver dysfunction. The descriptive of mortality levels on question 1 and table 1 has suggest such multiplicative relationship.</w:t>
      </w:r>
    </w:p>
    <w:p w14:paraId="11994C2A" w14:textId="77777777" w:rsidR="00BF3626" w:rsidRDefault="00EE4720" w:rsidP="00BF3626">
      <w:r>
        <w:t>4.</w:t>
      </w:r>
      <w:commentRangeStart w:id="6"/>
      <w:r>
        <w:t>b</w:t>
      </w:r>
      <w:commentRangeEnd w:id="6"/>
      <w:r w:rsidR="00A865B4">
        <w:rPr>
          <w:rStyle w:val="CommentReference"/>
        </w:rPr>
        <w:commentReference w:id="6"/>
      </w:r>
      <w:r w:rsidR="00BF3626">
        <w:t>) Methods: a Cox proportional-hazards regression with robust standard errors is used to compare the distribution of time to any cause of death across groups defined by</w:t>
      </w:r>
      <w:r w:rsidR="00A82B16">
        <w:t xml:space="preserve"> </w:t>
      </w:r>
      <w:r w:rsidR="00BF3626">
        <w:t>serum bilirubin levels. Bilirubin is mod</w:t>
      </w:r>
      <w:r w:rsidR="00A82B16">
        <w:t>eled as continuous logarithm base 2 transformed</w:t>
      </w:r>
      <w:r w:rsidR="00BF3626">
        <w:t xml:space="preserve"> and the hazard ratio from the model is used to quantify the association and </w:t>
      </w:r>
      <w:r w:rsidR="00C27479">
        <w:t>its 95% confidence interval and two-sided p-values computed from Wald statistics are also reported</w:t>
      </w:r>
      <w:r w:rsidR="00BF3626">
        <w:t>. The significance level is set to 5%.</w:t>
      </w:r>
    </w:p>
    <w:p w14:paraId="410B98EF" w14:textId="77777777" w:rsidR="00B46CE9" w:rsidRDefault="00B46CE9" w:rsidP="00B46CE9">
      <w:r>
        <w:t>Results: All 418 subjects in the dataset contributed to 161 events on total 219</w:t>
      </w:r>
      <w:r w:rsidR="00900FFA">
        <w:t>4.75 person-years. There is 98.4</w:t>
      </w:r>
      <w:r>
        <w:t xml:space="preserve">% relative higher (hazard ratio </w:t>
      </w:r>
      <w:r w:rsidR="00900FFA">
        <w:t>1.984</w:t>
      </w:r>
      <w:r>
        <w:t>) instantaneous risk</w:t>
      </w:r>
      <w:r w:rsidR="00900FFA">
        <w:t xml:space="preserve"> of death associated with each doubling of</w:t>
      </w:r>
      <w:r>
        <w:t xml:space="preserve"> serum bilirubin level </w:t>
      </w:r>
      <w:r w:rsidR="002B2E1D">
        <w:t>at enrollment. The observed ha</w:t>
      </w:r>
      <w:r w:rsidR="00900FFA">
        <w:t>zard</w:t>
      </w:r>
      <w:r>
        <w:t xml:space="preserve"> ratio wouldn’t be unusual to </w:t>
      </w:r>
      <w:r w:rsidR="002B2E1D">
        <w:t>be found between 1.781</w:t>
      </w:r>
      <w:r>
        <w:t xml:space="preserve"> and </w:t>
      </w:r>
      <w:r w:rsidR="002B2E1D">
        <w:t>2.212</w:t>
      </w:r>
      <w:r>
        <w:t xml:space="preserve"> and we reject the null hypothesis of being equal to 1 with p-value below 0.001.</w:t>
      </w:r>
    </w:p>
    <w:p w14:paraId="74F6F312" w14:textId="77777777" w:rsidR="00C37B58" w:rsidRDefault="00C37B58" w:rsidP="00B46CE9">
      <w:r>
        <w:t>4.c)</w:t>
      </w:r>
      <w:r w:rsidRPr="00C37B58">
        <w:t xml:space="preserve"> </w:t>
      </w:r>
      <w:r>
        <w:t>Methods: a Cox proportional-hazards regression with robust standard errors is used to compare the distribution of time to any cause of death across groups defined by serum bilirubin levels. Bilirubin is modeled as continuous logarithm base 2 transformed</w:t>
      </w:r>
      <w:r w:rsidR="003F7476">
        <w:t>.</w:t>
      </w:r>
      <w:r>
        <w:t xml:space="preserve"> </w:t>
      </w:r>
      <w:r w:rsidR="003F7476">
        <w:t>Fitted hazard ratios are computed from the model for each record on the dataset.</w:t>
      </w:r>
    </w:p>
    <w:p w14:paraId="40D7E91C" w14:textId="77777777" w:rsidR="002C2ABF" w:rsidRDefault="00DB4035" w:rsidP="002C2ABF">
      <w:r>
        <w:t>Results: The fitted results</w:t>
      </w:r>
      <w:r w:rsidR="002C2ABF">
        <w:t xml:space="preserve"> are presented on answer to question 6.</w:t>
      </w:r>
    </w:p>
    <w:p w14:paraId="36169C7B" w14:textId="77777777" w:rsidR="00F42BD5" w:rsidRDefault="00293647" w:rsidP="00F42BD5">
      <w:r>
        <w:t xml:space="preserve">5.a) </w:t>
      </w:r>
      <w:commentRangeStart w:id="7"/>
      <w:r>
        <w:t>Methods</w:t>
      </w:r>
      <w:commentRangeEnd w:id="7"/>
      <w:r w:rsidR="00A865B4">
        <w:rPr>
          <w:rStyle w:val="CommentReference"/>
        </w:rPr>
        <w:commentReference w:id="7"/>
      </w:r>
      <w:r>
        <w:t xml:space="preserve">: a Cox proportional-hazards regression with robust standard errors is used to compare the distribution of time to any cause of death across groups defined by serum bilirubin levels. </w:t>
      </w:r>
      <w:r w:rsidR="0054275A">
        <w:t xml:space="preserve">Both terms untransformed and </w:t>
      </w:r>
      <w:r w:rsidR="00B64CAF">
        <w:t>logarithm of</w:t>
      </w:r>
      <w:r w:rsidR="00F57798">
        <w:t xml:space="preserve"> base 2 transformed</w:t>
      </w:r>
      <w:r w:rsidR="0054275A">
        <w:t xml:space="preserve"> b</w:t>
      </w:r>
      <w:r>
        <w:t xml:space="preserve">ilirubin </w:t>
      </w:r>
      <w:r w:rsidR="0054275A">
        <w:t xml:space="preserve">are </w:t>
      </w:r>
      <w:r w:rsidR="00F57798">
        <w:t>included on the model</w:t>
      </w:r>
      <w:r w:rsidR="0054275A">
        <w:t xml:space="preserve"> simultaneously</w:t>
      </w:r>
      <w:r w:rsidR="0066507B">
        <w:t>. The regression coefficients of the model, its 95% confidence interval and two-sided p-values computed from Wald statistics are reported. The specific Wald statistic of the logarithm of base 2 transformed bilirubin</w:t>
      </w:r>
      <w:r w:rsidR="001A48AE">
        <w:t xml:space="preserve"> coefficient is used to test the null hypothesis of </w:t>
      </w:r>
      <w:r w:rsidR="00785570">
        <w:t>being 1 (in hazard ratio scale)</w:t>
      </w:r>
      <w:r w:rsidR="001A48AE">
        <w:t>.</w:t>
      </w:r>
      <w:r w:rsidR="00D03E64">
        <w:t xml:space="preserve"> The significance level is set to 5%.</w:t>
      </w:r>
    </w:p>
    <w:p w14:paraId="1C7DF533" w14:textId="77777777" w:rsidR="00BB651D" w:rsidRDefault="00155630" w:rsidP="00293647">
      <w:r>
        <w:lastRenderedPageBreak/>
        <w:t xml:space="preserve">Results: </w:t>
      </w:r>
      <w:r w:rsidR="000861BF">
        <w:t xml:space="preserve">Table 2 shows </w:t>
      </w:r>
      <w:r w:rsidR="0026633A">
        <w:t>the coe</w:t>
      </w:r>
      <w:r w:rsidR="00785570">
        <w:t xml:space="preserve">fficients of regression and the global </w:t>
      </w:r>
      <w:r w:rsidR="0026633A">
        <w:t>Wald-test p-value</w:t>
      </w:r>
      <w:r w:rsidR="00785570">
        <w:t>.</w:t>
      </w:r>
      <w:r w:rsidR="0026633A">
        <w:t xml:space="preserve"> The Wald-test for the transformed term is 54.89 corresponding to a p-value &lt; 0.0001. Wherefore the null hypoth</w:t>
      </w:r>
      <w:r w:rsidR="005A3474">
        <w:t>esis of an</w:t>
      </w:r>
      <w:r w:rsidR="0026633A">
        <w:t xml:space="preserve"> hazard ratio </w:t>
      </w:r>
      <w:r w:rsidR="005A3474">
        <w:t xml:space="preserve">of 1 </w:t>
      </w:r>
      <w:r w:rsidR="0026633A">
        <w:t>for the transformed variable is reject</w:t>
      </w:r>
      <w:r w:rsidR="005A3474">
        <w:t>ed</w:t>
      </w:r>
      <w:r w:rsidR="0026633A">
        <w:t xml:space="preserve"> </w:t>
      </w:r>
      <w:r w:rsidR="005A3474">
        <w:t>i.e.</w:t>
      </w:r>
      <w:r w:rsidR="0026633A">
        <w:t xml:space="preserve"> </w:t>
      </w:r>
      <w:r w:rsidR="0053463C">
        <w:t xml:space="preserve">there is a </w:t>
      </w:r>
      <w:r w:rsidR="0026633A">
        <w:t>non-linear relationship between the hazard</w:t>
      </w:r>
      <w:r w:rsidR="0053463C">
        <w:t xml:space="preserve"> ratio and bilirubin.</w:t>
      </w:r>
    </w:p>
    <w:p w14:paraId="27346930" w14:textId="77777777" w:rsidR="00BB651D" w:rsidRDefault="00BB651D" w:rsidP="00293647">
      <w:r>
        <w:t xml:space="preserve">Table 2 – Cox proportion hazard regression of time to death from any cause with bilirubin untransformed and logarithm base 2 predictors </w:t>
      </w:r>
    </w:p>
    <w:tbl>
      <w:tblPr>
        <w:tblW w:w="6247" w:type="dxa"/>
        <w:tblInd w:w="98" w:type="dxa"/>
        <w:tblLook w:val="04A0" w:firstRow="1" w:lastRow="0" w:firstColumn="1" w:lastColumn="0" w:noHBand="0" w:noVBand="1"/>
      </w:tblPr>
      <w:tblGrid>
        <w:gridCol w:w="2500"/>
        <w:gridCol w:w="980"/>
        <w:gridCol w:w="1540"/>
        <w:gridCol w:w="1227"/>
      </w:tblGrid>
      <w:tr w:rsidR="00BB651D" w:rsidRPr="00BB651D" w14:paraId="70258AB8" w14:textId="77777777" w:rsidTr="0026633A">
        <w:trPr>
          <w:trHeight w:val="600"/>
        </w:trPr>
        <w:tc>
          <w:tcPr>
            <w:tcW w:w="2500" w:type="dxa"/>
            <w:tcBorders>
              <w:top w:val="single" w:sz="4" w:space="0" w:color="auto"/>
              <w:left w:val="nil"/>
              <w:bottom w:val="single" w:sz="4" w:space="0" w:color="auto"/>
              <w:right w:val="nil"/>
            </w:tcBorders>
            <w:shd w:val="clear" w:color="auto" w:fill="auto"/>
            <w:vAlign w:val="center"/>
            <w:hideMark/>
          </w:tcPr>
          <w:p w14:paraId="20B4311A" w14:textId="77777777" w:rsidR="00BB651D" w:rsidRPr="00BB651D" w:rsidRDefault="00BB651D" w:rsidP="00BB651D">
            <w:pPr>
              <w:spacing w:after="0" w:line="240" w:lineRule="auto"/>
              <w:jc w:val="center"/>
              <w:rPr>
                <w:rFonts w:ascii="Calibri" w:eastAsia="Times New Roman" w:hAnsi="Calibri" w:cs="Times New Roman"/>
                <w:b/>
                <w:bCs/>
                <w:color w:val="000000"/>
              </w:rPr>
            </w:pPr>
            <w:r w:rsidRPr="00BB651D">
              <w:rPr>
                <w:rFonts w:ascii="Calibri" w:eastAsia="Times New Roman" w:hAnsi="Calibri" w:cs="Times New Roman"/>
                <w:b/>
                <w:bCs/>
                <w:color w:val="000000"/>
              </w:rPr>
              <w:t>Variable</w:t>
            </w:r>
          </w:p>
        </w:tc>
        <w:tc>
          <w:tcPr>
            <w:tcW w:w="980" w:type="dxa"/>
            <w:tcBorders>
              <w:top w:val="single" w:sz="4" w:space="0" w:color="auto"/>
              <w:left w:val="nil"/>
              <w:bottom w:val="single" w:sz="4" w:space="0" w:color="auto"/>
              <w:right w:val="nil"/>
            </w:tcBorders>
            <w:shd w:val="clear" w:color="auto" w:fill="auto"/>
            <w:vAlign w:val="center"/>
            <w:hideMark/>
          </w:tcPr>
          <w:p w14:paraId="3BCC840B" w14:textId="77777777" w:rsidR="00BB651D" w:rsidRPr="00BB651D" w:rsidRDefault="00BB651D" w:rsidP="00BB651D">
            <w:pPr>
              <w:spacing w:after="0" w:line="240" w:lineRule="auto"/>
              <w:jc w:val="center"/>
              <w:rPr>
                <w:rFonts w:ascii="Calibri" w:eastAsia="Times New Roman" w:hAnsi="Calibri" w:cs="Times New Roman"/>
                <w:b/>
                <w:bCs/>
                <w:color w:val="000000"/>
              </w:rPr>
            </w:pPr>
            <w:r w:rsidRPr="00BB651D">
              <w:rPr>
                <w:rFonts w:ascii="Calibri" w:eastAsia="Times New Roman" w:hAnsi="Calibri" w:cs="Times New Roman"/>
                <w:b/>
                <w:bCs/>
                <w:color w:val="000000"/>
              </w:rPr>
              <w:t>Hazard Ratio</w:t>
            </w:r>
          </w:p>
        </w:tc>
        <w:tc>
          <w:tcPr>
            <w:tcW w:w="1540" w:type="dxa"/>
            <w:tcBorders>
              <w:top w:val="single" w:sz="4" w:space="0" w:color="auto"/>
              <w:left w:val="nil"/>
              <w:bottom w:val="single" w:sz="4" w:space="0" w:color="auto"/>
              <w:right w:val="nil"/>
            </w:tcBorders>
            <w:shd w:val="clear" w:color="auto" w:fill="auto"/>
            <w:noWrap/>
            <w:vAlign w:val="center"/>
            <w:hideMark/>
          </w:tcPr>
          <w:p w14:paraId="2FF26C6B" w14:textId="77777777" w:rsidR="00BB651D" w:rsidRPr="00BB651D" w:rsidRDefault="00BB651D" w:rsidP="00BB651D">
            <w:pPr>
              <w:spacing w:after="0" w:line="240" w:lineRule="auto"/>
              <w:jc w:val="center"/>
              <w:rPr>
                <w:rFonts w:ascii="Calibri" w:eastAsia="Times New Roman" w:hAnsi="Calibri" w:cs="Times New Roman"/>
                <w:b/>
                <w:bCs/>
                <w:color w:val="000000"/>
              </w:rPr>
            </w:pPr>
            <w:r w:rsidRPr="00BB651D">
              <w:rPr>
                <w:rFonts w:ascii="Calibri" w:eastAsia="Times New Roman" w:hAnsi="Calibri" w:cs="Times New Roman"/>
                <w:b/>
                <w:bCs/>
                <w:color w:val="000000"/>
              </w:rPr>
              <w:t>95% CI</w:t>
            </w:r>
          </w:p>
        </w:tc>
        <w:tc>
          <w:tcPr>
            <w:tcW w:w="1227" w:type="dxa"/>
            <w:tcBorders>
              <w:top w:val="single" w:sz="4" w:space="0" w:color="auto"/>
              <w:left w:val="nil"/>
              <w:bottom w:val="single" w:sz="4" w:space="0" w:color="auto"/>
              <w:right w:val="nil"/>
            </w:tcBorders>
            <w:shd w:val="clear" w:color="auto" w:fill="auto"/>
            <w:noWrap/>
            <w:vAlign w:val="center"/>
            <w:hideMark/>
          </w:tcPr>
          <w:p w14:paraId="02361739" w14:textId="77777777" w:rsidR="00BB651D" w:rsidRPr="00BB651D" w:rsidRDefault="00BB651D" w:rsidP="00BB651D">
            <w:pPr>
              <w:spacing w:after="0" w:line="240" w:lineRule="auto"/>
              <w:jc w:val="center"/>
              <w:rPr>
                <w:rFonts w:ascii="Calibri" w:eastAsia="Times New Roman" w:hAnsi="Calibri" w:cs="Times New Roman"/>
                <w:b/>
                <w:bCs/>
                <w:color w:val="000000"/>
              </w:rPr>
            </w:pPr>
            <w:r w:rsidRPr="00BB651D">
              <w:rPr>
                <w:rFonts w:ascii="Calibri" w:eastAsia="Times New Roman" w:hAnsi="Calibri" w:cs="Times New Roman"/>
                <w:b/>
                <w:bCs/>
                <w:color w:val="000000"/>
              </w:rPr>
              <w:t>p</w:t>
            </w:r>
          </w:p>
        </w:tc>
      </w:tr>
      <w:tr w:rsidR="00BB651D" w:rsidRPr="00BB651D" w14:paraId="274D70B7" w14:textId="77777777" w:rsidTr="0026633A">
        <w:trPr>
          <w:trHeight w:val="300"/>
        </w:trPr>
        <w:tc>
          <w:tcPr>
            <w:tcW w:w="2500" w:type="dxa"/>
            <w:tcBorders>
              <w:top w:val="nil"/>
              <w:left w:val="nil"/>
              <w:bottom w:val="nil"/>
              <w:right w:val="nil"/>
            </w:tcBorders>
            <w:shd w:val="clear" w:color="auto" w:fill="auto"/>
            <w:noWrap/>
            <w:vAlign w:val="bottom"/>
            <w:hideMark/>
          </w:tcPr>
          <w:p w14:paraId="6B47AAB5" w14:textId="77777777"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Total cases in the model</w:t>
            </w:r>
          </w:p>
        </w:tc>
        <w:tc>
          <w:tcPr>
            <w:tcW w:w="980" w:type="dxa"/>
            <w:tcBorders>
              <w:top w:val="nil"/>
              <w:left w:val="nil"/>
              <w:bottom w:val="nil"/>
              <w:right w:val="nil"/>
            </w:tcBorders>
            <w:shd w:val="clear" w:color="auto" w:fill="auto"/>
            <w:noWrap/>
            <w:vAlign w:val="center"/>
            <w:hideMark/>
          </w:tcPr>
          <w:p w14:paraId="376CC7E2" w14:textId="77777777"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418</w:t>
            </w:r>
          </w:p>
        </w:tc>
        <w:tc>
          <w:tcPr>
            <w:tcW w:w="1540" w:type="dxa"/>
            <w:tcBorders>
              <w:top w:val="nil"/>
              <w:left w:val="nil"/>
              <w:bottom w:val="nil"/>
              <w:right w:val="nil"/>
            </w:tcBorders>
            <w:shd w:val="clear" w:color="auto" w:fill="auto"/>
            <w:noWrap/>
            <w:vAlign w:val="center"/>
            <w:hideMark/>
          </w:tcPr>
          <w:p w14:paraId="633CF2C1" w14:textId="77777777" w:rsidR="00BB651D" w:rsidRPr="00BB651D" w:rsidRDefault="00BB651D" w:rsidP="00BB651D">
            <w:pPr>
              <w:spacing w:after="0" w:line="240" w:lineRule="auto"/>
              <w:jc w:val="center"/>
              <w:rPr>
                <w:rFonts w:ascii="Calibri" w:eastAsia="Times New Roman" w:hAnsi="Calibri" w:cs="Times New Roman"/>
                <w:color w:val="000000"/>
              </w:rPr>
            </w:pPr>
          </w:p>
        </w:tc>
        <w:tc>
          <w:tcPr>
            <w:tcW w:w="1227" w:type="dxa"/>
            <w:tcBorders>
              <w:top w:val="nil"/>
              <w:left w:val="nil"/>
              <w:bottom w:val="nil"/>
              <w:right w:val="nil"/>
            </w:tcBorders>
            <w:shd w:val="clear" w:color="auto" w:fill="auto"/>
            <w:noWrap/>
            <w:vAlign w:val="bottom"/>
            <w:hideMark/>
          </w:tcPr>
          <w:p w14:paraId="3439C528" w14:textId="77777777" w:rsidR="00BB651D" w:rsidRPr="00BB651D" w:rsidRDefault="00BB651D" w:rsidP="00BB651D">
            <w:pPr>
              <w:spacing w:after="0" w:line="240" w:lineRule="auto"/>
              <w:rPr>
                <w:rFonts w:ascii="Calibri" w:eastAsia="Times New Roman" w:hAnsi="Calibri" w:cs="Times New Roman"/>
                <w:color w:val="000000"/>
              </w:rPr>
            </w:pPr>
          </w:p>
        </w:tc>
      </w:tr>
      <w:tr w:rsidR="00BB651D" w:rsidRPr="00BB651D" w14:paraId="0E1FE2CA" w14:textId="77777777" w:rsidTr="0026633A">
        <w:trPr>
          <w:trHeight w:val="300"/>
        </w:trPr>
        <w:tc>
          <w:tcPr>
            <w:tcW w:w="2500" w:type="dxa"/>
            <w:tcBorders>
              <w:top w:val="nil"/>
              <w:left w:val="nil"/>
              <w:bottom w:val="nil"/>
              <w:right w:val="nil"/>
            </w:tcBorders>
            <w:shd w:val="clear" w:color="auto" w:fill="auto"/>
            <w:noWrap/>
            <w:vAlign w:val="bottom"/>
            <w:hideMark/>
          </w:tcPr>
          <w:p w14:paraId="60E9E682" w14:textId="77777777" w:rsidR="00BB651D" w:rsidRPr="00BB651D" w:rsidRDefault="00BB651D" w:rsidP="00BB651D">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14:paraId="083CF4C1" w14:textId="77777777" w:rsidR="00BB651D" w:rsidRPr="00BB651D" w:rsidRDefault="00BB651D" w:rsidP="00BB651D">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14:paraId="25863654" w14:textId="77777777" w:rsidR="00BB651D" w:rsidRPr="00BB651D" w:rsidRDefault="00BB651D" w:rsidP="00BB651D">
            <w:pPr>
              <w:spacing w:after="0" w:line="240" w:lineRule="auto"/>
              <w:rPr>
                <w:rFonts w:ascii="Calibri" w:eastAsia="Times New Roman" w:hAnsi="Calibri" w:cs="Times New Roman"/>
                <w:color w:val="000000"/>
              </w:rPr>
            </w:pPr>
          </w:p>
        </w:tc>
        <w:tc>
          <w:tcPr>
            <w:tcW w:w="1227" w:type="dxa"/>
            <w:tcBorders>
              <w:top w:val="nil"/>
              <w:left w:val="nil"/>
              <w:bottom w:val="nil"/>
              <w:right w:val="nil"/>
            </w:tcBorders>
            <w:shd w:val="clear" w:color="auto" w:fill="auto"/>
            <w:noWrap/>
            <w:vAlign w:val="bottom"/>
            <w:hideMark/>
          </w:tcPr>
          <w:p w14:paraId="28DF006B" w14:textId="77777777" w:rsidR="00BB651D" w:rsidRPr="00BB651D" w:rsidRDefault="00BB651D" w:rsidP="00BB651D">
            <w:pPr>
              <w:spacing w:after="0" w:line="240" w:lineRule="auto"/>
              <w:rPr>
                <w:rFonts w:ascii="Calibri" w:eastAsia="Times New Roman" w:hAnsi="Calibri" w:cs="Times New Roman"/>
                <w:color w:val="000000"/>
              </w:rPr>
            </w:pPr>
          </w:p>
        </w:tc>
      </w:tr>
      <w:tr w:rsidR="00BB651D" w:rsidRPr="00BB651D" w14:paraId="4E059655" w14:textId="77777777" w:rsidTr="0026633A">
        <w:trPr>
          <w:trHeight w:val="300"/>
        </w:trPr>
        <w:tc>
          <w:tcPr>
            <w:tcW w:w="2500" w:type="dxa"/>
            <w:tcBorders>
              <w:top w:val="nil"/>
              <w:left w:val="nil"/>
              <w:bottom w:val="nil"/>
              <w:right w:val="nil"/>
            </w:tcBorders>
            <w:shd w:val="clear" w:color="auto" w:fill="auto"/>
            <w:noWrap/>
            <w:vAlign w:val="bottom"/>
            <w:hideMark/>
          </w:tcPr>
          <w:p w14:paraId="784C11A8" w14:textId="77777777"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Bilirubin untransformed</w:t>
            </w:r>
          </w:p>
        </w:tc>
        <w:tc>
          <w:tcPr>
            <w:tcW w:w="980" w:type="dxa"/>
            <w:tcBorders>
              <w:top w:val="nil"/>
              <w:left w:val="nil"/>
              <w:bottom w:val="nil"/>
              <w:right w:val="nil"/>
            </w:tcBorders>
            <w:shd w:val="clear" w:color="auto" w:fill="auto"/>
            <w:noWrap/>
            <w:vAlign w:val="center"/>
            <w:hideMark/>
          </w:tcPr>
          <w:p w14:paraId="194E55AA" w14:textId="77777777"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0.961</w:t>
            </w:r>
          </w:p>
        </w:tc>
        <w:tc>
          <w:tcPr>
            <w:tcW w:w="1540" w:type="dxa"/>
            <w:tcBorders>
              <w:top w:val="nil"/>
              <w:left w:val="nil"/>
              <w:bottom w:val="nil"/>
              <w:right w:val="nil"/>
            </w:tcBorders>
            <w:shd w:val="clear" w:color="auto" w:fill="auto"/>
            <w:noWrap/>
            <w:vAlign w:val="center"/>
            <w:hideMark/>
          </w:tcPr>
          <w:p w14:paraId="6D392981" w14:textId="77777777"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0.911 - 1.014</w:t>
            </w:r>
          </w:p>
        </w:tc>
        <w:tc>
          <w:tcPr>
            <w:tcW w:w="1227" w:type="dxa"/>
            <w:tcBorders>
              <w:top w:val="nil"/>
              <w:left w:val="nil"/>
              <w:bottom w:val="nil"/>
              <w:right w:val="nil"/>
            </w:tcBorders>
            <w:shd w:val="clear" w:color="auto" w:fill="auto"/>
            <w:noWrap/>
            <w:vAlign w:val="center"/>
            <w:hideMark/>
          </w:tcPr>
          <w:p w14:paraId="44FA3665" w14:textId="77777777"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0.148</w:t>
            </w:r>
          </w:p>
        </w:tc>
      </w:tr>
      <w:tr w:rsidR="00BB651D" w:rsidRPr="00BB651D" w14:paraId="70194226" w14:textId="77777777" w:rsidTr="0026633A">
        <w:trPr>
          <w:trHeight w:val="300"/>
        </w:trPr>
        <w:tc>
          <w:tcPr>
            <w:tcW w:w="2500" w:type="dxa"/>
            <w:tcBorders>
              <w:top w:val="nil"/>
              <w:left w:val="nil"/>
              <w:bottom w:val="nil"/>
              <w:right w:val="nil"/>
            </w:tcBorders>
            <w:shd w:val="clear" w:color="auto" w:fill="auto"/>
            <w:noWrap/>
            <w:vAlign w:val="bottom"/>
            <w:hideMark/>
          </w:tcPr>
          <w:p w14:paraId="47652C52" w14:textId="77777777"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Logarithm base 2 biliribin</w:t>
            </w:r>
          </w:p>
        </w:tc>
        <w:tc>
          <w:tcPr>
            <w:tcW w:w="980" w:type="dxa"/>
            <w:tcBorders>
              <w:top w:val="nil"/>
              <w:left w:val="nil"/>
              <w:bottom w:val="nil"/>
              <w:right w:val="nil"/>
            </w:tcBorders>
            <w:shd w:val="clear" w:color="auto" w:fill="auto"/>
            <w:noWrap/>
            <w:vAlign w:val="center"/>
            <w:hideMark/>
          </w:tcPr>
          <w:p w14:paraId="0F621FC8" w14:textId="77777777"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2.271</w:t>
            </w:r>
          </w:p>
        </w:tc>
        <w:tc>
          <w:tcPr>
            <w:tcW w:w="1540" w:type="dxa"/>
            <w:tcBorders>
              <w:top w:val="nil"/>
              <w:left w:val="nil"/>
              <w:bottom w:val="nil"/>
              <w:right w:val="nil"/>
            </w:tcBorders>
            <w:shd w:val="clear" w:color="auto" w:fill="auto"/>
            <w:noWrap/>
            <w:vAlign w:val="center"/>
            <w:hideMark/>
          </w:tcPr>
          <w:p w14:paraId="4269F4E7" w14:textId="77777777"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1.828 - 2.821</w:t>
            </w:r>
          </w:p>
        </w:tc>
        <w:tc>
          <w:tcPr>
            <w:tcW w:w="1227" w:type="dxa"/>
            <w:tcBorders>
              <w:top w:val="nil"/>
              <w:left w:val="nil"/>
              <w:bottom w:val="nil"/>
              <w:right w:val="nil"/>
            </w:tcBorders>
            <w:shd w:val="clear" w:color="auto" w:fill="auto"/>
            <w:noWrap/>
            <w:vAlign w:val="center"/>
            <w:hideMark/>
          </w:tcPr>
          <w:p w14:paraId="75E51310" w14:textId="77777777"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&lt; 0.001</w:t>
            </w:r>
          </w:p>
        </w:tc>
      </w:tr>
      <w:tr w:rsidR="00BB651D" w:rsidRPr="00BB651D" w14:paraId="24B14B4B" w14:textId="77777777" w:rsidTr="0026633A">
        <w:trPr>
          <w:trHeight w:val="300"/>
        </w:trPr>
        <w:tc>
          <w:tcPr>
            <w:tcW w:w="2500" w:type="dxa"/>
            <w:tcBorders>
              <w:top w:val="nil"/>
              <w:left w:val="nil"/>
              <w:bottom w:val="single" w:sz="4" w:space="0" w:color="auto"/>
              <w:right w:val="nil"/>
            </w:tcBorders>
            <w:shd w:val="clear" w:color="auto" w:fill="auto"/>
            <w:noWrap/>
            <w:vAlign w:val="bottom"/>
            <w:hideMark/>
          </w:tcPr>
          <w:p w14:paraId="140B9708" w14:textId="77777777"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14:paraId="1BADBEB0" w14:textId="77777777"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 </w:t>
            </w:r>
          </w:p>
        </w:tc>
        <w:tc>
          <w:tcPr>
            <w:tcW w:w="1540" w:type="dxa"/>
            <w:tcBorders>
              <w:top w:val="nil"/>
              <w:left w:val="nil"/>
              <w:bottom w:val="single" w:sz="4" w:space="0" w:color="auto"/>
              <w:right w:val="nil"/>
            </w:tcBorders>
            <w:shd w:val="clear" w:color="auto" w:fill="auto"/>
            <w:noWrap/>
            <w:vAlign w:val="bottom"/>
            <w:hideMark/>
          </w:tcPr>
          <w:p w14:paraId="737922ED" w14:textId="77777777"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 </w:t>
            </w:r>
          </w:p>
        </w:tc>
        <w:tc>
          <w:tcPr>
            <w:tcW w:w="1227" w:type="dxa"/>
            <w:tcBorders>
              <w:top w:val="nil"/>
              <w:left w:val="nil"/>
              <w:bottom w:val="single" w:sz="4" w:space="0" w:color="auto"/>
              <w:right w:val="nil"/>
            </w:tcBorders>
            <w:shd w:val="clear" w:color="auto" w:fill="auto"/>
            <w:noWrap/>
            <w:vAlign w:val="bottom"/>
            <w:hideMark/>
          </w:tcPr>
          <w:p w14:paraId="093DD8C2" w14:textId="77777777"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 </w:t>
            </w:r>
          </w:p>
        </w:tc>
      </w:tr>
      <w:tr w:rsidR="00BB651D" w:rsidRPr="00BB651D" w14:paraId="65E4053D" w14:textId="77777777" w:rsidTr="0026633A">
        <w:trPr>
          <w:trHeight w:val="300"/>
        </w:trPr>
        <w:tc>
          <w:tcPr>
            <w:tcW w:w="2500" w:type="dxa"/>
            <w:tcBorders>
              <w:top w:val="nil"/>
              <w:left w:val="nil"/>
              <w:bottom w:val="nil"/>
              <w:right w:val="nil"/>
            </w:tcBorders>
            <w:shd w:val="clear" w:color="auto" w:fill="auto"/>
            <w:noWrap/>
            <w:vAlign w:val="bottom"/>
            <w:hideMark/>
          </w:tcPr>
          <w:p w14:paraId="40A2344B" w14:textId="77777777"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Wald test = 142.12</w:t>
            </w:r>
          </w:p>
        </w:tc>
        <w:tc>
          <w:tcPr>
            <w:tcW w:w="980" w:type="dxa"/>
            <w:tcBorders>
              <w:top w:val="nil"/>
              <w:left w:val="nil"/>
              <w:bottom w:val="nil"/>
              <w:right w:val="nil"/>
            </w:tcBorders>
            <w:shd w:val="clear" w:color="auto" w:fill="auto"/>
            <w:noWrap/>
            <w:vAlign w:val="bottom"/>
            <w:hideMark/>
          </w:tcPr>
          <w:p w14:paraId="29BCF5FE" w14:textId="77777777" w:rsidR="00BB651D" w:rsidRPr="00BB651D" w:rsidRDefault="00BB651D" w:rsidP="00BB651D">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14:paraId="5135D575" w14:textId="77777777" w:rsidR="00BB651D" w:rsidRPr="00BB651D" w:rsidRDefault="00BB651D" w:rsidP="00BB651D">
            <w:pPr>
              <w:spacing w:after="0" w:line="240" w:lineRule="auto"/>
              <w:rPr>
                <w:rFonts w:ascii="Calibri" w:eastAsia="Times New Roman" w:hAnsi="Calibri" w:cs="Times New Roman"/>
                <w:color w:val="000000"/>
              </w:rPr>
            </w:pPr>
          </w:p>
        </w:tc>
        <w:tc>
          <w:tcPr>
            <w:tcW w:w="1227" w:type="dxa"/>
            <w:tcBorders>
              <w:top w:val="nil"/>
              <w:left w:val="nil"/>
              <w:bottom w:val="nil"/>
              <w:right w:val="nil"/>
            </w:tcBorders>
            <w:shd w:val="clear" w:color="auto" w:fill="auto"/>
            <w:noWrap/>
            <w:vAlign w:val="bottom"/>
            <w:hideMark/>
          </w:tcPr>
          <w:p w14:paraId="194ACE96" w14:textId="77777777"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p &lt; 0.0001</w:t>
            </w:r>
          </w:p>
        </w:tc>
      </w:tr>
    </w:tbl>
    <w:p w14:paraId="77A9F090" w14:textId="77777777" w:rsidR="00BB651D" w:rsidRDefault="00BB651D" w:rsidP="00293647"/>
    <w:p w14:paraId="4D7ECABC" w14:textId="77777777" w:rsidR="00CB10CC" w:rsidRDefault="005F7AE6" w:rsidP="00CB10CC">
      <w:r>
        <w:t xml:space="preserve">5.b) </w:t>
      </w:r>
      <w:r w:rsidR="00CB10CC">
        <w:t>Methods: the model fitted on 5a is used to generate a fitted hazard ratios variable that will be used for comparison on question 6.</w:t>
      </w:r>
    </w:p>
    <w:p w14:paraId="1434630B" w14:textId="77777777" w:rsidR="006E0FA8" w:rsidRDefault="00CB10CC" w:rsidP="00CB10CC">
      <w:r>
        <w:t xml:space="preserve">6. </w:t>
      </w:r>
      <w:commentRangeStart w:id="8"/>
      <w:r w:rsidR="00555AAC">
        <w:t>Methods</w:t>
      </w:r>
      <w:commentRangeEnd w:id="8"/>
      <w:r w:rsidR="00012B6F">
        <w:rPr>
          <w:rStyle w:val="CommentReference"/>
        </w:rPr>
        <w:commentReference w:id="8"/>
      </w:r>
      <w:r w:rsidR="00555AAC">
        <w:t>: fitted values computed on 3, 4 and 5 are displayed in scatter plot: x-axis representing bilirubin levels in mg/dl and relative hazard ratios on y-axis.</w:t>
      </w:r>
      <w:r w:rsidR="006E0FA8">
        <w:t xml:space="preserve"> Please note all logarithms are on base 2.</w:t>
      </w:r>
    </w:p>
    <w:p w14:paraId="38C8612E" w14:textId="77777777" w:rsidR="00555AAC" w:rsidRDefault="00555AAC" w:rsidP="00CB10CC">
      <w:r>
        <w:t>Results: Figure 2 shows the plot.</w:t>
      </w:r>
    </w:p>
    <w:p w14:paraId="7A4506C9" w14:textId="77777777" w:rsidR="00DB4035" w:rsidRDefault="006E0FA8" w:rsidP="002C2ABF">
      <w:r>
        <w:rPr>
          <w:noProof/>
          <w:lang w:eastAsia="zh-CN"/>
        </w:rPr>
        <w:drawing>
          <wp:inline distT="0" distB="0" distL="0" distR="0" wp14:anchorId="6B94AA7A" wp14:editId="415CEC8D">
            <wp:extent cx="4256563" cy="3093004"/>
            <wp:effectExtent l="19050" t="0" r="0" b="0"/>
            <wp:docPr id="3" name="Picture 2" descr="q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tif"/>
                    <pic:cNvPicPr/>
                  </pic:nvPicPr>
                  <pic:blipFill>
                    <a:blip r:embed="rId9"/>
                    <a:stretch>
                      <a:fillRect/>
                    </a:stretch>
                  </pic:blipFill>
                  <pic:spPr>
                    <a:xfrm>
                      <a:off x="0" y="0"/>
                      <a:ext cx="4257551" cy="3093722"/>
                    </a:xfrm>
                    <a:prstGeom prst="rect">
                      <a:avLst/>
                    </a:prstGeom>
                  </pic:spPr>
                </pic:pic>
              </a:graphicData>
            </a:graphic>
          </wp:inline>
        </w:drawing>
      </w:r>
    </w:p>
    <w:p w14:paraId="45224E7F" w14:textId="77777777" w:rsidR="00B46CE9" w:rsidRDefault="006E0FA8" w:rsidP="00BF3626">
      <w:r>
        <w:t>Figure 2 – Fitted values of relative hazard ratio regression with untransformed bilirubin, logarithm bilirubin and both untransformed bilirubin and logarithm bilirubin predictors.</w:t>
      </w:r>
    </w:p>
    <w:p w14:paraId="502A332E" w14:textId="77777777" w:rsidR="00131F2C" w:rsidRDefault="00131F2C" w:rsidP="00B80641">
      <w:r>
        <w:t xml:space="preserve">There isn’t a large difference between the models including a logarithm term. These two regressions are highly similar below 15 mg/dl bilirubin serum levels. </w:t>
      </w:r>
      <w:r w:rsidR="0027134F">
        <w:t xml:space="preserve">It is for note that above 15mg/dl we have sparse data. </w:t>
      </w:r>
      <w:r>
        <w:t>Linearity is found on the alone logarithm bilirubin predictor and slightly by the both untransformed and logarithm bilirubin.</w:t>
      </w:r>
    </w:p>
    <w:p w14:paraId="7DFA4BC4" w14:textId="77777777" w:rsidR="00344E25" w:rsidRDefault="006E0FA8" w:rsidP="00B80641">
      <w:r>
        <w:lastRenderedPageBreak/>
        <w:t>Linearity is found by the alone logarithm bilirubin predictor and slightly by the both untransformed and logarithm bilirubin. The al</w:t>
      </w:r>
      <w:r w:rsidR="00A613C2">
        <w:t>one untransformed bilirubin hasn’</w:t>
      </w:r>
      <w:r>
        <w:t>t linearity with relative hazard ratio.</w:t>
      </w:r>
    </w:p>
    <w:p w14:paraId="0639992A" w14:textId="77777777" w:rsidR="00344E25" w:rsidRDefault="00344E25" w:rsidP="00B80641">
      <w:r>
        <w:t>7.</w:t>
      </w:r>
      <w:commentRangeStart w:id="9"/>
      <w:r>
        <w:t>a</w:t>
      </w:r>
      <w:commentRangeEnd w:id="9"/>
      <w:r w:rsidR="005A260B">
        <w:rPr>
          <w:rStyle w:val="CommentReference"/>
        </w:rPr>
        <w:commentReference w:id="9"/>
      </w:r>
      <w:r>
        <w:t xml:space="preserve">) </w:t>
      </w:r>
      <w:r w:rsidR="009B68A3">
        <w:t>About age</w:t>
      </w:r>
      <w:r w:rsidR="007C1A6E">
        <w:t xml:space="preserve"> at enrollment</w:t>
      </w:r>
      <w:r w:rsidR="009B68A3">
        <w:t>. On question 1 we found that age is associated with mortality (figure 1) in this sample but not with bilirubin at enrollment (table 1).</w:t>
      </w:r>
      <w:r w:rsidR="00916505">
        <w:t xml:space="preserve"> Age is precedent of death.</w:t>
      </w:r>
    </w:p>
    <w:p w14:paraId="6AB59694" w14:textId="77777777" w:rsidR="00D2403D" w:rsidRDefault="009B68A3" w:rsidP="00B80641">
      <w:r>
        <w:t>About gender. First ¼ of our subjects have no information on gender. Figure 1 is suggestive of some association between gender and mortality but table 1 doesn’t suggest association with bilirubin levels at enrollment on this sample.</w:t>
      </w:r>
      <w:r w:rsidR="00916505" w:rsidRPr="00916505">
        <w:t xml:space="preserve"> </w:t>
      </w:r>
      <w:r w:rsidR="00916505">
        <w:t xml:space="preserve"> </w:t>
      </w:r>
      <w:r w:rsidR="00D2403D">
        <w:t>Gender</w:t>
      </w:r>
      <w:r w:rsidR="00916505">
        <w:t xml:space="preserve"> is </w:t>
      </w:r>
      <w:r w:rsidR="00D2403D">
        <w:t>a characteristic that never changes.</w:t>
      </w:r>
    </w:p>
    <w:p w14:paraId="535EA00E" w14:textId="77777777" w:rsidR="00A26F1E" w:rsidRDefault="00916505" w:rsidP="00B80641">
      <w:r>
        <w:t xml:space="preserve">By these facts </w:t>
      </w:r>
      <w:r w:rsidR="00582501">
        <w:t>I find no evidence of confounding.</w:t>
      </w:r>
    </w:p>
    <w:p w14:paraId="702F0F53" w14:textId="77777777" w:rsidR="00916505" w:rsidRDefault="00916505" w:rsidP="00916505">
      <w:r>
        <w:t xml:space="preserve">7.b) </w:t>
      </w:r>
      <w:commentRangeStart w:id="10"/>
      <w:r>
        <w:t>About</w:t>
      </w:r>
      <w:commentRangeEnd w:id="10"/>
      <w:r w:rsidR="005A260B">
        <w:rPr>
          <w:rStyle w:val="CommentReference"/>
        </w:rPr>
        <w:commentReference w:id="10"/>
      </w:r>
      <w:r>
        <w:t xml:space="preserve"> age at enrollment. On question 1 we found that age is associated with mortality (figure 1) in this sample but not with bilirubin at enrollment (table 1). Age is precedent of death.</w:t>
      </w:r>
    </w:p>
    <w:p w14:paraId="586BE5FA" w14:textId="77777777" w:rsidR="00916505" w:rsidRDefault="00916505" w:rsidP="00916505">
      <w:r>
        <w:t>About gender. First ¼ of our subjects have no information on gender. Figure 1 is suggestive of some association between gender and mortality but table 1 doesn’t suggest association with bilirubin levels at enrollment on this sample.</w:t>
      </w:r>
      <w:r w:rsidRPr="00916505">
        <w:t xml:space="preserve"> </w:t>
      </w:r>
      <w:r>
        <w:t xml:space="preserve"> </w:t>
      </w:r>
      <w:r w:rsidR="00560A5B">
        <w:t>Gender is a characteristic that never changes.</w:t>
      </w:r>
    </w:p>
    <w:p w14:paraId="3E62875B" w14:textId="77777777" w:rsidR="00916505" w:rsidRDefault="00916505" w:rsidP="00916505">
      <w:r>
        <w:t xml:space="preserve"> </w:t>
      </w:r>
      <w:r w:rsidR="00582501">
        <w:t>This suggests that they</w:t>
      </w:r>
      <w:r w:rsidR="00E42069">
        <w:t xml:space="preserve"> (age and gender)</w:t>
      </w:r>
      <w:r w:rsidR="00582501">
        <w:t xml:space="preserve"> </w:t>
      </w:r>
      <w:r>
        <w:t>are precision variables.</w:t>
      </w:r>
    </w:p>
    <w:p w14:paraId="64EF783C" w14:textId="77777777" w:rsidR="00916505" w:rsidRDefault="00916505" w:rsidP="00B80641">
      <w:r>
        <w:t>7.</w:t>
      </w:r>
      <w:commentRangeStart w:id="11"/>
      <w:r w:rsidR="000059FF">
        <w:t>c</w:t>
      </w:r>
      <w:commentRangeEnd w:id="11"/>
      <w:r w:rsidR="00DC1A27">
        <w:rPr>
          <w:rStyle w:val="CommentReference"/>
        </w:rPr>
        <w:commentReference w:id="11"/>
      </w:r>
      <w:r w:rsidR="000059FF">
        <w:t>)</w:t>
      </w:r>
      <w:r w:rsidR="000059FF" w:rsidRPr="000059FF">
        <w:t xml:space="preserve"> </w:t>
      </w:r>
      <w:r w:rsidR="000059FF">
        <w:t xml:space="preserve">Methods: a Cox proportional-hazards regression with robust standard errors is used to compare the distribution of time to any cause of death across groups defined by serum bilirubin levels at enrolment adjusted to gender and age at enrolment. Bilirubin is included after being transformed in logarithm of base 2. </w:t>
      </w:r>
      <w:r w:rsidR="00EF6E0B">
        <w:t>Hazard ratio from the model is used to quantify the association and its 95% confidence intervals and</w:t>
      </w:r>
      <w:r w:rsidR="005D2C79">
        <w:t xml:space="preserve"> two-sided</w:t>
      </w:r>
      <w:r w:rsidR="00EF6E0B">
        <w:t xml:space="preserve"> p-values </w:t>
      </w:r>
      <w:r w:rsidR="005D2C79">
        <w:t xml:space="preserve">computed </w:t>
      </w:r>
      <w:r w:rsidR="00EF6E0B">
        <w:t>from Wald</w:t>
      </w:r>
      <w:r w:rsidR="005D2C79">
        <w:t xml:space="preserve"> statistic</w:t>
      </w:r>
      <w:r w:rsidR="00EF6E0B">
        <w:t xml:space="preserve"> are also reported. The significance level is set to 5%.</w:t>
      </w:r>
    </w:p>
    <w:p w14:paraId="51E48F41" w14:textId="77777777" w:rsidR="00BC1885" w:rsidRDefault="00BC1885" w:rsidP="00B80641">
      <w:r>
        <w:t xml:space="preserve">Please note that </w:t>
      </w:r>
      <w:r w:rsidR="001C0EE5">
        <w:t xml:space="preserve">given that </w:t>
      </w:r>
      <w:r>
        <w:t xml:space="preserve">¼ of sample </w:t>
      </w:r>
      <w:r w:rsidR="001C0EE5">
        <w:t xml:space="preserve">doesn’t contain </w:t>
      </w:r>
      <w:r>
        <w:t xml:space="preserve">gender information </w:t>
      </w:r>
      <w:r w:rsidR="001C0EE5">
        <w:t>two models are fit. One with missing gender information and the other considering the missing values as a third</w:t>
      </w:r>
      <w:r>
        <w:t>. A model excluding these missing was fitted</w:t>
      </w:r>
      <w:r w:rsidR="00017943">
        <w:t xml:space="preserve"> also fitted to compare the effect</w:t>
      </w:r>
      <w:r>
        <w:t>.</w:t>
      </w:r>
    </w:p>
    <w:p w14:paraId="48589B50" w14:textId="77777777" w:rsidR="00AA055F" w:rsidRDefault="00AA055F" w:rsidP="00B80641">
      <w:r>
        <w:t xml:space="preserve">Results: </w:t>
      </w:r>
      <w:r w:rsidR="009E126C">
        <w:t xml:space="preserve">Table 3 </w:t>
      </w:r>
      <w:r w:rsidR="00BC1885">
        <w:t>shows results of the regression</w:t>
      </w:r>
      <w:r w:rsidR="00CD7680">
        <w:t xml:space="preserve"> including the missing values on gender</w:t>
      </w:r>
      <w:r w:rsidR="002412C5">
        <w:t xml:space="preserve"> and table 4 shows the same regression excluding the missing values on gender.</w:t>
      </w:r>
      <w:r w:rsidR="00E815B9">
        <w:t xml:space="preserve"> The hazard ratios of the logarithm base 2 of serum bilirubin levels are quite similar despite the large standard error on the reduced dataset. </w:t>
      </w:r>
      <w:r w:rsidR="00AE4357">
        <w:t>Given the gender and age are hold constant a</w:t>
      </w:r>
      <w:r w:rsidR="00E815B9">
        <w:t xml:space="preserve"> two-fold increase of serum bilirubin at enrol</w:t>
      </w:r>
      <w:r w:rsidR="00852710">
        <w:t>lment was associated with a 2.12</w:t>
      </w:r>
      <w:r w:rsidR="00E815B9">
        <w:t xml:space="preserve"> times higher instantaneous risk of death and it wouldn’t be surprise to find</w:t>
      </w:r>
      <w:r w:rsidR="00852710">
        <w:t xml:space="preserve"> this hazard ratio between 1.840 and 2.416</w:t>
      </w:r>
      <w:r w:rsidR="00E815B9">
        <w:t>. We reject the null hypothesis of null of instantaneous hazard ratio of 1 with p-vale &lt; 0.001.</w:t>
      </w:r>
    </w:p>
    <w:p w14:paraId="0A4B18B8" w14:textId="77777777" w:rsidR="003D3C38" w:rsidRDefault="00970914" w:rsidP="00B80641">
      <w:r>
        <w:t>The adjusted hazard ratio (2.12</w:t>
      </w:r>
      <w:r w:rsidR="00E815B9">
        <w:t>) is slightly greater than the non adjusted (1.984) suggesting either confounding or precision effect o</w:t>
      </w:r>
      <w:r>
        <w:t>f age and gender on mortality f</w:t>
      </w:r>
      <w:r w:rsidR="00E815B9">
        <w:t>r</w:t>
      </w:r>
      <w:r>
        <w:t>o</w:t>
      </w:r>
      <w:r w:rsidR="00E815B9">
        <w:t>m any cause and bilirubin levels.</w:t>
      </w:r>
    </w:p>
    <w:p w14:paraId="7DFFF759" w14:textId="77777777" w:rsidR="003D3C38" w:rsidRDefault="003D3C38" w:rsidP="00B80641"/>
    <w:p w14:paraId="5FC10D7D" w14:textId="77777777" w:rsidR="003D3C38" w:rsidRDefault="003D3C38" w:rsidP="00B80641"/>
    <w:p w14:paraId="0C2F4D81" w14:textId="77777777" w:rsidR="003D3C38" w:rsidRDefault="003D3C38" w:rsidP="00B80641"/>
    <w:p w14:paraId="0DBD0038" w14:textId="77777777" w:rsidR="003D3C38" w:rsidRDefault="003D3C38" w:rsidP="00B80641"/>
    <w:p w14:paraId="26BE1A38" w14:textId="77777777" w:rsidR="00E815B9" w:rsidRDefault="00E815B9" w:rsidP="00B80641">
      <w:r>
        <w:t xml:space="preserve"> </w:t>
      </w:r>
    </w:p>
    <w:p w14:paraId="6600A0D2" w14:textId="77777777" w:rsidR="000A717E" w:rsidRDefault="008460A9" w:rsidP="000A717E">
      <w:r>
        <w:lastRenderedPageBreak/>
        <w:t>Table 3 – Cox proportional-hazards regression of time to death from any cause of death by serum bilirubin levels log-transformed adjusted for age and sex</w:t>
      </w:r>
      <w:r w:rsidR="002412C5">
        <w:t xml:space="preserve"> (including the missing values on gender)</w:t>
      </w:r>
      <w:r>
        <w:t>.</w:t>
      </w:r>
    </w:p>
    <w:tbl>
      <w:tblPr>
        <w:tblW w:w="7948" w:type="dxa"/>
        <w:tblInd w:w="98" w:type="dxa"/>
        <w:tblLook w:val="04A0" w:firstRow="1" w:lastRow="0" w:firstColumn="1" w:lastColumn="0" w:noHBand="0" w:noVBand="1"/>
      </w:tblPr>
      <w:tblGrid>
        <w:gridCol w:w="4000"/>
        <w:gridCol w:w="980"/>
        <w:gridCol w:w="1540"/>
        <w:gridCol w:w="1428"/>
      </w:tblGrid>
      <w:tr w:rsidR="000B6FCC" w:rsidRPr="000B6FCC" w14:paraId="0272E092" w14:textId="77777777" w:rsidTr="000B6FCC">
        <w:trPr>
          <w:trHeight w:val="600"/>
        </w:trPr>
        <w:tc>
          <w:tcPr>
            <w:tcW w:w="4000" w:type="dxa"/>
            <w:tcBorders>
              <w:top w:val="single" w:sz="4" w:space="0" w:color="auto"/>
              <w:left w:val="nil"/>
              <w:bottom w:val="single" w:sz="4" w:space="0" w:color="auto"/>
              <w:right w:val="nil"/>
            </w:tcBorders>
            <w:shd w:val="clear" w:color="auto" w:fill="auto"/>
            <w:vAlign w:val="center"/>
            <w:hideMark/>
          </w:tcPr>
          <w:p w14:paraId="41268742" w14:textId="77777777" w:rsidR="000B6FCC" w:rsidRPr="000B6FCC" w:rsidRDefault="000B6FCC" w:rsidP="000B6FCC">
            <w:pPr>
              <w:spacing w:after="0" w:line="240" w:lineRule="auto"/>
              <w:jc w:val="center"/>
              <w:rPr>
                <w:rFonts w:ascii="Calibri" w:eastAsia="Times New Roman" w:hAnsi="Calibri" w:cs="Times New Roman"/>
                <w:b/>
                <w:bCs/>
                <w:color w:val="000000"/>
              </w:rPr>
            </w:pPr>
            <w:r w:rsidRPr="000B6FCC">
              <w:rPr>
                <w:rFonts w:ascii="Calibri" w:eastAsia="Times New Roman" w:hAnsi="Calibri" w:cs="Times New Roman"/>
                <w:b/>
                <w:bCs/>
                <w:color w:val="000000"/>
              </w:rPr>
              <w:t>Variable</w:t>
            </w:r>
          </w:p>
        </w:tc>
        <w:tc>
          <w:tcPr>
            <w:tcW w:w="980" w:type="dxa"/>
            <w:tcBorders>
              <w:top w:val="single" w:sz="4" w:space="0" w:color="auto"/>
              <w:left w:val="nil"/>
              <w:bottom w:val="single" w:sz="4" w:space="0" w:color="auto"/>
              <w:right w:val="nil"/>
            </w:tcBorders>
            <w:shd w:val="clear" w:color="auto" w:fill="auto"/>
            <w:vAlign w:val="center"/>
            <w:hideMark/>
          </w:tcPr>
          <w:p w14:paraId="7E1FC930" w14:textId="77777777" w:rsidR="000B6FCC" w:rsidRPr="000B6FCC" w:rsidRDefault="000B6FCC" w:rsidP="000B6FCC">
            <w:pPr>
              <w:spacing w:after="0" w:line="240" w:lineRule="auto"/>
              <w:jc w:val="center"/>
              <w:rPr>
                <w:rFonts w:ascii="Calibri" w:eastAsia="Times New Roman" w:hAnsi="Calibri" w:cs="Times New Roman"/>
                <w:b/>
                <w:bCs/>
                <w:color w:val="000000"/>
              </w:rPr>
            </w:pPr>
            <w:r w:rsidRPr="000B6FCC">
              <w:rPr>
                <w:rFonts w:ascii="Calibri" w:eastAsia="Times New Roman" w:hAnsi="Calibri" w:cs="Times New Roman"/>
                <w:b/>
                <w:bCs/>
                <w:color w:val="000000"/>
              </w:rPr>
              <w:t>Hazard Ratio</w:t>
            </w:r>
          </w:p>
        </w:tc>
        <w:tc>
          <w:tcPr>
            <w:tcW w:w="1540" w:type="dxa"/>
            <w:tcBorders>
              <w:top w:val="single" w:sz="4" w:space="0" w:color="auto"/>
              <w:left w:val="nil"/>
              <w:bottom w:val="single" w:sz="4" w:space="0" w:color="auto"/>
              <w:right w:val="nil"/>
            </w:tcBorders>
            <w:shd w:val="clear" w:color="auto" w:fill="auto"/>
            <w:noWrap/>
            <w:vAlign w:val="center"/>
            <w:hideMark/>
          </w:tcPr>
          <w:p w14:paraId="24762AF4" w14:textId="77777777" w:rsidR="000B6FCC" w:rsidRPr="000B6FCC" w:rsidRDefault="000B6FCC" w:rsidP="000B6FCC">
            <w:pPr>
              <w:spacing w:after="0" w:line="240" w:lineRule="auto"/>
              <w:jc w:val="center"/>
              <w:rPr>
                <w:rFonts w:ascii="Calibri" w:eastAsia="Times New Roman" w:hAnsi="Calibri" w:cs="Times New Roman"/>
                <w:b/>
                <w:bCs/>
                <w:color w:val="000000"/>
              </w:rPr>
            </w:pPr>
            <w:r w:rsidRPr="000B6FCC">
              <w:rPr>
                <w:rFonts w:ascii="Calibri" w:eastAsia="Times New Roman" w:hAnsi="Calibri" w:cs="Times New Roman"/>
                <w:b/>
                <w:bCs/>
                <w:color w:val="000000"/>
              </w:rPr>
              <w:t>95% CI</w:t>
            </w:r>
          </w:p>
        </w:tc>
        <w:tc>
          <w:tcPr>
            <w:tcW w:w="1428" w:type="dxa"/>
            <w:tcBorders>
              <w:top w:val="single" w:sz="4" w:space="0" w:color="auto"/>
              <w:left w:val="nil"/>
              <w:bottom w:val="single" w:sz="4" w:space="0" w:color="auto"/>
              <w:right w:val="nil"/>
            </w:tcBorders>
            <w:shd w:val="clear" w:color="auto" w:fill="auto"/>
            <w:noWrap/>
            <w:vAlign w:val="center"/>
            <w:hideMark/>
          </w:tcPr>
          <w:p w14:paraId="645A977F" w14:textId="77777777" w:rsidR="000B6FCC" w:rsidRPr="000B6FCC" w:rsidRDefault="000B6FCC" w:rsidP="000B6FCC">
            <w:pPr>
              <w:spacing w:after="0" w:line="240" w:lineRule="auto"/>
              <w:jc w:val="center"/>
              <w:rPr>
                <w:rFonts w:ascii="Calibri" w:eastAsia="Times New Roman" w:hAnsi="Calibri" w:cs="Times New Roman"/>
                <w:b/>
                <w:bCs/>
                <w:color w:val="000000"/>
              </w:rPr>
            </w:pPr>
            <w:r w:rsidRPr="000B6FCC">
              <w:rPr>
                <w:rFonts w:ascii="Calibri" w:eastAsia="Times New Roman" w:hAnsi="Calibri" w:cs="Times New Roman"/>
                <w:b/>
                <w:bCs/>
                <w:color w:val="000000"/>
              </w:rPr>
              <w:t>p</w:t>
            </w:r>
          </w:p>
        </w:tc>
      </w:tr>
      <w:tr w:rsidR="000B6FCC" w:rsidRPr="000B6FCC" w14:paraId="56B37FFF" w14:textId="77777777" w:rsidTr="000B6FCC">
        <w:trPr>
          <w:trHeight w:val="300"/>
        </w:trPr>
        <w:tc>
          <w:tcPr>
            <w:tcW w:w="4000" w:type="dxa"/>
            <w:tcBorders>
              <w:top w:val="nil"/>
              <w:left w:val="nil"/>
              <w:bottom w:val="nil"/>
              <w:right w:val="nil"/>
            </w:tcBorders>
            <w:shd w:val="clear" w:color="auto" w:fill="auto"/>
            <w:noWrap/>
            <w:vAlign w:val="bottom"/>
            <w:hideMark/>
          </w:tcPr>
          <w:p w14:paraId="0C1DF711" w14:textId="77777777"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Total cases in the model</w:t>
            </w:r>
          </w:p>
        </w:tc>
        <w:tc>
          <w:tcPr>
            <w:tcW w:w="980" w:type="dxa"/>
            <w:tcBorders>
              <w:top w:val="nil"/>
              <w:left w:val="nil"/>
              <w:bottom w:val="nil"/>
              <w:right w:val="nil"/>
            </w:tcBorders>
            <w:shd w:val="clear" w:color="auto" w:fill="auto"/>
            <w:noWrap/>
            <w:vAlign w:val="center"/>
            <w:hideMark/>
          </w:tcPr>
          <w:p w14:paraId="749BF93A"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418</w:t>
            </w:r>
          </w:p>
        </w:tc>
        <w:tc>
          <w:tcPr>
            <w:tcW w:w="1540" w:type="dxa"/>
            <w:tcBorders>
              <w:top w:val="nil"/>
              <w:left w:val="nil"/>
              <w:bottom w:val="nil"/>
              <w:right w:val="nil"/>
            </w:tcBorders>
            <w:shd w:val="clear" w:color="auto" w:fill="auto"/>
            <w:noWrap/>
            <w:vAlign w:val="center"/>
            <w:hideMark/>
          </w:tcPr>
          <w:p w14:paraId="1EB523CB" w14:textId="77777777" w:rsidR="000B6FCC" w:rsidRPr="000B6FCC" w:rsidRDefault="000B6FCC" w:rsidP="000B6FCC">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14:paraId="262AE582" w14:textId="77777777" w:rsidR="000B6FCC" w:rsidRPr="000B6FCC" w:rsidRDefault="000B6FCC" w:rsidP="000B6FCC">
            <w:pPr>
              <w:spacing w:after="0" w:line="240" w:lineRule="auto"/>
              <w:rPr>
                <w:rFonts w:ascii="Calibri" w:eastAsia="Times New Roman" w:hAnsi="Calibri" w:cs="Times New Roman"/>
                <w:color w:val="000000"/>
              </w:rPr>
            </w:pPr>
          </w:p>
        </w:tc>
      </w:tr>
      <w:tr w:rsidR="000B6FCC" w:rsidRPr="000B6FCC" w14:paraId="00366353" w14:textId="77777777" w:rsidTr="000B6FCC">
        <w:trPr>
          <w:trHeight w:val="300"/>
        </w:trPr>
        <w:tc>
          <w:tcPr>
            <w:tcW w:w="4000" w:type="dxa"/>
            <w:tcBorders>
              <w:top w:val="nil"/>
              <w:left w:val="nil"/>
              <w:bottom w:val="nil"/>
              <w:right w:val="nil"/>
            </w:tcBorders>
            <w:shd w:val="clear" w:color="auto" w:fill="auto"/>
            <w:noWrap/>
            <w:vAlign w:val="bottom"/>
            <w:hideMark/>
          </w:tcPr>
          <w:p w14:paraId="3F423653" w14:textId="77777777" w:rsidR="000B6FCC" w:rsidRPr="000B6FCC" w:rsidRDefault="000B6FCC" w:rsidP="000B6FCC">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14:paraId="6A2ADC13" w14:textId="77777777" w:rsidR="000B6FCC" w:rsidRPr="000B6FCC" w:rsidRDefault="000B6FCC" w:rsidP="000B6FCC">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14:paraId="0949C183" w14:textId="77777777" w:rsidR="000B6FCC" w:rsidRPr="000B6FCC" w:rsidRDefault="000B6FCC" w:rsidP="000B6FCC">
            <w:pPr>
              <w:spacing w:after="0" w:line="240" w:lineRule="auto"/>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14:paraId="6D9174B0" w14:textId="77777777" w:rsidR="000B6FCC" w:rsidRPr="000B6FCC" w:rsidRDefault="000B6FCC" w:rsidP="000B6FCC">
            <w:pPr>
              <w:spacing w:after="0" w:line="240" w:lineRule="auto"/>
              <w:rPr>
                <w:rFonts w:ascii="Calibri" w:eastAsia="Times New Roman" w:hAnsi="Calibri" w:cs="Times New Roman"/>
                <w:color w:val="000000"/>
              </w:rPr>
            </w:pPr>
          </w:p>
        </w:tc>
      </w:tr>
      <w:tr w:rsidR="000B6FCC" w:rsidRPr="000B6FCC" w14:paraId="69D083B0" w14:textId="77777777" w:rsidTr="000B6FCC">
        <w:trPr>
          <w:trHeight w:val="300"/>
        </w:trPr>
        <w:tc>
          <w:tcPr>
            <w:tcW w:w="4000" w:type="dxa"/>
            <w:tcBorders>
              <w:top w:val="nil"/>
              <w:left w:val="nil"/>
              <w:bottom w:val="nil"/>
              <w:right w:val="nil"/>
            </w:tcBorders>
            <w:shd w:val="clear" w:color="auto" w:fill="auto"/>
            <w:noWrap/>
            <w:vAlign w:val="bottom"/>
            <w:hideMark/>
          </w:tcPr>
          <w:p w14:paraId="418D2378" w14:textId="77777777"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Logarithm base 2 of serum bilirubin levels</w:t>
            </w:r>
          </w:p>
        </w:tc>
        <w:tc>
          <w:tcPr>
            <w:tcW w:w="980" w:type="dxa"/>
            <w:tcBorders>
              <w:top w:val="nil"/>
              <w:left w:val="nil"/>
              <w:bottom w:val="nil"/>
              <w:right w:val="nil"/>
            </w:tcBorders>
            <w:shd w:val="clear" w:color="auto" w:fill="auto"/>
            <w:noWrap/>
            <w:vAlign w:val="center"/>
            <w:hideMark/>
          </w:tcPr>
          <w:p w14:paraId="5E9694E6"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2.021</w:t>
            </w:r>
          </w:p>
        </w:tc>
        <w:tc>
          <w:tcPr>
            <w:tcW w:w="1540" w:type="dxa"/>
            <w:tcBorders>
              <w:top w:val="nil"/>
              <w:left w:val="nil"/>
              <w:bottom w:val="nil"/>
              <w:right w:val="nil"/>
            </w:tcBorders>
            <w:shd w:val="clear" w:color="auto" w:fill="auto"/>
            <w:noWrap/>
            <w:vAlign w:val="center"/>
            <w:hideMark/>
          </w:tcPr>
          <w:p w14:paraId="51DB2FC5"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1.795 - 2.275</w:t>
            </w:r>
          </w:p>
        </w:tc>
        <w:tc>
          <w:tcPr>
            <w:tcW w:w="1428" w:type="dxa"/>
            <w:tcBorders>
              <w:top w:val="nil"/>
              <w:left w:val="nil"/>
              <w:bottom w:val="nil"/>
              <w:right w:val="nil"/>
            </w:tcBorders>
            <w:shd w:val="clear" w:color="auto" w:fill="auto"/>
            <w:noWrap/>
            <w:vAlign w:val="center"/>
            <w:hideMark/>
          </w:tcPr>
          <w:p w14:paraId="60C467D7"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&lt; 0.001</w:t>
            </w:r>
          </w:p>
        </w:tc>
      </w:tr>
      <w:tr w:rsidR="000B6FCC" w:rsidRPr="000B6FCC" w14:paraId="2FD74884" w14:textId="77777777" w:rsidTr="000B6FCC">
        <w:trPr>
          <w:trHeight w:val="300"/>
        </w:trPr>
        <w:tc>
          <w:tcPr>
            <w:tcW w:w="4000" w:type="dxa"/>
            <w:tcBorders>
              <w:top w:val="nil"/>
              <w:left w:val="nil"/>
              <w:bottom w:val="nil"/>
              <w:right w:val="nil"/>
            </w:tcBorders>
            <w:shd w:val="clear" w:color="auto" w:fill="auto"/>
            <w:noWrap/>
            <w:vAlign w:val="bottom"/>
            <w:hideMark/>
          </w:tcPr>
          <w:p w14:paraId="7F58D5F1" w14:textId="77777777" w:rsidR="000B6FCC" w:rsidRPr="000B6FCC" w:rsidRDefault="000B6FCC" w:rsidP="000B6FCC">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center"/>
            <w:hideMark/>
          </w:tcPr>
          <w:p w14:paraId="0E148B0B" w14:textId="77777777" w:rsidR="000B6FCC" w:rsidRPr="000B6FCC" w:rsidRDefault="000B6FCC" w:rsidP="000B6FCC">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14:paraId="4526EEA7" w14:textId="77777777" w:rsidR="000B6FCC" w:rsidRPr="000B6FCC" w:rsidRDefault="000B6FCC" w:rsidP="000B6FCC">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14:paraId="019E455A" w14:textId="77777777" w:rsidR="000B6FCC" w:rsidRPr="000B6FCC" w:rsidRDefault="000B6FCC" w:rsidP="000B6FCC">
            <w:pPr>
              <w:spacing w:after="0" w:line="240" w:lineRule="auto"/>
              <w:jc w:val="center"/>
              <w:rPr>
                <w:rFonts w:ascii="Calibri" w:eastAsia="Times New Roman" w:hAnsi="Calibri" w:cs="Times New Roman"/>
                <w:color w:val="000000"/>
              </w:rPr>
            </w:pPr>
          </w:p>
        </w:tc>
      </w:tr>
      <w:tr w:rsidR="000B6FCC" w:rsidRPr="000B6FCC" w14:paraId="4A38EDAE" w14:textId="77777777" w:rsidTr="000B6FCC">
        <w:trPr>
          <w:trHeight w:val="300"/>
        </w:trPr>
        <w:tc>
          <w:tcPr>
            <w:tcW w:w="4000" w:type="dxa"/>
            <w:tcBorders>
              <w:top w:val="nil"/>
              <w:left w:val="nil"/>
              <w:bottom w:val="nil"/>
              <w:right w:val="nil"/>
            </w:tcBorders>
            <w:shd w:val="clear" w:color="auto" w:fill="auto"/>
            <w:noWrap/>
            <w:vAlign w:val="bottom"/>
            <w:hideMark/>
          </w:tcPr>
          <w:p w14:paraId="7105B9FB" w14:textId="77777777"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Gender</w:t>
            </w:r>
          </w:p>
        </w:tc>
        <w:tc>
          <w:tcPr>
            <w:tcW w:w="980" w:type="dxa"/>
            <w:tcBorders>
              <w:top w:val="nil"/>
              <w:left w:val="nil"/>
              <w:bottom w:val="nil"/>
              <w:right w:val="nil"/>
            </w:tcBorders>
            <w:shd w:val="clear" w:color="auto" w:fill="auto"/>
            <w:noWrap/>
            <w:vAlign w:val="center"/>
            <w:hideMark/>
          </w:tcPr>
          <w:p w14:paraId="03BCC936" w14:textId="77777777" w:rsidR="000B6FCC" w:rsidRPr="000B6FCC" w:rsidRDefault="000B6FCC" w:rsidP="000B6FCC">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14:paraId="7C7FD197" w14:textId="77777777" w:rsidR="000B6FCC" w:rsidRPr="000B6FCC" w:rsidRDefault="000B6FCC" w:rsidP="000B6FCC">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14:paraId="4E9877CE" w14:textId="77777777" w:rsidR="000B6FCC" w:rsidRPr="000B6FCC" w:rsidRDefault="000B6FCC" w:rsidP="000B6FCC">
            <w:pPr>
              <w:spacing w:after="0" w:line="240" w:lineRule="auto"/>
              <w:jc w:val="center"/>
              <w:rPr>
                <w:rFonts w:ascii="Calibri" w:eastAsia="Times New Roman" w:hAnsi="Calibri" w:cs="Times New Roman"/>
                <w:color w:val="000000"/>
              </w:rPr>
            </w:pPr>
          </w:p>
        </w:tc>
      </w:tr>
      <w:tr w:rsidR="000B6FCC" w:rsidRPr="000B6FCC" w14:paraId="53A9AFA6" w14:textId="77777777" w:rsidTr="000B6FCC">
        <w:trPr>
          <w:trHeight w:val="300"/>
        </w:trPr>
        <w:tc>
          <w:tcPr>
            <w:tcW w:w="4000" w:type="dxa"/>
            <w:tcBorders>
              <w:top w:val="nil"/>
              <w:left w:val="nil"/>
              <w:bottom w:val="nil"/>
              <w:right w:val="nil"/>
            </w:tcBorders>
            <w:shd w:val="clear" w:color="auto" w:fill="auto"/>
            <w:noWrap/>
            <w:vAlign w:val="bottom"/>
            <w:hideMark/>
          </w:tcPr>
          <w:p w14:paraId="05030FDF" w14:textId="77777777" w:rsidR="000B6FCC" w:rsidRPr="000B6FCC" w:rsidRDefault="000B6FCC" w:rsidP="000B6FCC">
            <w:pPr>
              <w:spacing w:after="0" w:line="240" w:lineRule="auto"/>
              <w:ind w:firstLineChars="100" w:firstLine="220"/>
              <w:rPr>
                <w:rFonts w:ascii="Calibri" w:eastAsia="Times New Roman" w:hAnsi="Calibri" w:cs="Times New Roman"/>
                <w:color w:val="000000"/>
              </w:rPr>
            </w:pPr>
            <w:r w:rsidRPr="000B6FCC">
              <w:rPr>
                <w:rFonts w:ascii="Calibri" w:eastAsia="Times New Roman" w:hAnsi="Calibri" w:cs="Times New Roman"/>
                <w:color w:val="000000"/>
              </w:rPr>
              <w:t>Male</w:t>
            </w:r>
          </w:p>
        </w:tc>
        <w:tc>
          <w:tcPr>
            <w:tcW w:w="980" w:type="dxa"/>
            <w:tcBorders>
              <w:top w:val="nil"/>
              <w:left w:val="nil"/>
              <w:bottom w:val="nil"/>
              <w:right w:val="nil"/>
            </w:tcBorders>
            <w:shd w:val="clear" w:color="auto" w:fill="auto"/>
            <w:noWrap/>
            <w:vAlign w:val="center"/>
            <w:hideMark/>
          </w:tcPr>
          <w:p w14:paraId="61848173"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1.000</w:t>
            </w:r>
          </w:p>
        </w:tc>
        <w:tc>
          <w:tcPr>
            <w:tcW w:w="1540" w:type="dxa"/>
            <w:tcBorders>
              <w:top w:val="nil"/>
              <w:left w:val="nil"/>
              <w:bottom w:val="nil"/>
              <w:right w:val="nil"/>
            </w:tcBorders>
            <w:shd w:val="clear" w:color="auto" w:fill="auto"/>
            <w:noWrap/>
            <w:vAlign w:val="center"/>
            <w:hideMark/>
          </w:tcPr>
          <w:p w14:paraId="336715C2"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w:t>
            </w:r>
          </w:p>
        </w:tc>
        <w:tc>
          <w:tcPr>
            <w:tcW w:w="1428" w:type="dxa"/>
            <w:tcBorders>
              <w:top w:val="nil"/>
              <w:left w:val="nil"/>
              <w:bottom w:val="nil"/>
              <w:right w:val="nil"/>
            </w:tcBorders>
            <w:shd w:val="clear" w:color="auto" w:fill="auto"/>
            <w:noWrap/>
            <w:vAlign w:val="center"/>
            <w:hideMark/>
          </w:tcPr>
          <w:p w14:paraId="14BA8C6B" w14:textId="77777777" w:rsidR="000B6FCC" w:rsidRPr="000B6FCC" w:rsidRDefault="000B6FCC" w:rsidP="000B6FCC">
            <w:pPr>
              <w:spacing w:after="0" w:line="240" w:lineRule="auto"/>
              <w:jc w:val="center"/>
              <w:rPr>
                <w:rFonts w:ascii="Calibri" w:eastAsia="Times New Roman" w:hAnsi="Calibri" w:cs="Times New Roman"/>
                <w:color w:val="000000"/>
              </w:rPr>
            </w:pPr>
          </w:p>
        </w:tc>
      </w:tr>
      <w:tr w:rsidR="000B6FCC" w:rsidRPr="000B6FCC" w14:paraId="76F8A34D" w14:textId="77777777" w:rsidTr="000B6FCC">
        <w:trPr>
          <w:trHeight w:val="300"/>
        </w:trPr>
        <w:tc>
          <w:tcPr>
            <w:tcW w:w="4000" w:type="dxa"/>
            <w:tcBorders>
              <w:top w:val="nil"/>
              <w:left w:val="nil"/>
              <w:bottom w:val="nil"/>
              <w:right w:val="nil"/>
            </w:tcBorders>
            <w:shd w:val="clear" w:color="auto" w:fill="auto"/>
            <w:noWrap/>
            <w:vAlign w:val="bottom"/>
            <w:hideMark/>
          </w:tcPr>
          <w:p w14:paraId="2FC457C9" w14:textId="77777777" w:rsidR="000B6FCC" w:rsidRPr="000B6FCC" w:rsidRDefault="000B6FCC" w:rsidP="000B6FCC">
            <w:pPr>
              <w:spacing w:after="0" w:line="240" w:lineRule="auto"/>
              <w:ind w:firstLineChars="100" w:firstLine="220"/>
              <w:rPr>
                <w:rFonts w:ascii="Calibri" w:eastAsia="Times New Roman" w:hAnsi="Calibri" w:cs="Times New Roman"/>
                <w:color w:val="000000"/>
              </w:rPr>
            </w:pPr>
            <w:r w:rsidRPr="000B6FCC">
              <w:rPr>
                <w:rFonts w:ascii="Calibri" w:eastAsia="Times New Roman" w:hAnsi="Calibri" w:cs="Times New Roman"/>
                <w:color w:val="000000"/>
              </w:rPr>
              <w:t>Female</w:t>
            </w:r>
          </w:p>
        </w:tc>
        <w:tc>
          <w:tcPr>
            <w:tcW w:w="980" w:type="dxa"/>
            <w:tcBorders>
              <w:top w:val="nil"/>
              <w:left w:val="nil"/>
              <w:bottom w:val="nil"/>
              <w:right w:val="nil"/>
            </w:tcBorders>
            <w:shd w:val="clear" w:color="auto" w:fill="auto"/>
            <w:noWrap/>
            <w:vAlign w:val="center"/>
            <w:hideMark/>
          </w:tcPr>
          <w:p w14:paraId="1A6883C0"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0.973</w:t>
            </w:r>
          </w:p>
        </w:tc>
        <w:tc>
          <w:tcPr>
            <w:tcW w:w="1540" w:type="dxa"/>
            <w:tcBorders>
              <w:top w:val="nil"/>
              <w:left w:val="nil"/>
              <w:bottom w:val="nil"/>
              <w:right w:val="nil"/>
            </w:tcBorders>
            <w:shd w:val="clear" w:color="auto" w:fill="auto"/>
            <w:noWrap/>
            <w:vAlign w:val="center"/>
            <w:hideMark/>
          </w:tcPr>
          <w:p w14:paraId="36932C66"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0.572 - 1.657</w:t>
            </w:r>
          </w:p>
        </w:tc>
        <w:tc>
          <w:tcPr>
            <w:tcW w:w="1428" w:type="dxa"/>
            <w:tcBorders>
              <w:top w:val="nil"/>
              <w:left w:val="nil"/>
              <w:bottom w:val="nil"/>
              <w:right w:val="nil"/>
            </w:tcBorders>
            <w:shd w:val="clear" w:color="auto" w:fill="auto"/>
            <w:noWrap/>
            <w:vAlign w:val="center"/>
            <w:hideMark/>
          </w:tcPr>
          <w:p w14:paraId="471B221E"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0.920</w:t>
            </w:r>
          </w:p>
        </w:tc>
      </w:tr>
      <w:tr w:rsidR="000B6FCC" w:rsidRPr="000B6FCC" w14:paraId="5C086353" w14:textId="77777777" w:rsidTr="000B6FCC">
        <w:trPr>
          <w:trHeight w:val="300"/>
        </w:trPr>
        <w:tc>
          <w:tcPr>
            <w:tcW w:w="4000" w:type="dxa"/>
            <w:tcBorders>
              <w:top w:val="nil"/>
              <w:left w:val="nil"/>
              <w:bottom w:val="nil"/>
              <w:right w:val="nil"/>
            </w:tcBorders>
            <w:shd w:val="clear" w:color="auto" w:fill="auto"/>
            <w:noWrap/>
            <w:vAlign w:val="bottom"/>
            <w:hideMark/>
          </w:tcPr>
          <w:p w14:paraId="3B9DA8F9" w14:textId="77777777" w:rsidR="000B6FCC" w:rsidRPr="000B6FCC" w:rsidRDefault="000B6FCC" w:rsidP="000B6FCC">
            <w:pPr>
              <w:spacing w:after="0" w:line="240" w:lineRule="auto"/>
              <w:ind w:firstLineChars="100" w:firstLine="220"/>
              <w:rPr>
                <w:rFonts w:ascii="Calibri" w:eastAsia="Times New Roman" w:hAnsi="Calibri" w:cs="Times New Roman"/>
                <w:color w:val="000000"/>
              </w:rPr>
            </w:pPr>
            <w:r w:rsidRPr="000B6FCC">
              <w:rPr>
                <w:rFonts w:ascii="Calibri" w:eastAsia="Times New Roman" w:hAnsi="Calibri" w:cs="Times New Roman"/>
                <w:color w:val="000000"/>
              </w:rPr>
              <w:t>Missing</w:t>
            </w:r>
          </w:p>
        </w:tc>
        <w:tc>
          <w:tcPr>
            <w:tcW w:w="980" w:type="dxa"/>
            <w:tcBorders>
              <w:top w:val="nil"/>
              <w:left w:val="nil"/>
              <w:bottom w:val="nil"/>
              <w:right w:val="nil"/>
            </w:tcBorders>
            <w:shd w:val="clear" w:color="auto" w:fill="auto"/>
            <w:noWrap/>
            <w:vAlign w:val="center"/>
            <w:hideMark/>
          </w:tcPr>
          <w:p w14:paraId="2A6836CB"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0.913</w:t>
            </w:r>
          </w:p>
        </w:tc>
        <w:tc>
          <w:tcPr>
            <w:tcW w:w="1540" w:type="dxa"/>
            <w:tcBorders>
              <w:top w:val="nil"/>
              <w:left w:val="nil"/>
              <w:bottom w:val="nil"/>
              <w:right w:val="nil"/>
            </w:tcBorders>
            <w:shd w:val="clear" w:color="auto" w:fill="auto"/>
            <w:noWrap/>
            <w:vAlign w:val="center"/>
            <w:hideMark/>
          </w:tcPr>
          <w:p w14:paraId="7B0AD785"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0.497 - 1.676</w:t>
            </w:r>
          </w:p>
        </w:tc>
        <w:tc>
          <w:tcPr>
            <w:tcW w:w="1428" w:type="dxa"/>
            <w:tcBorders>
              <w:top w:val="nil"/>
              <w:left w:val="nil"/>
              <w:bottom w:val="nil"/>
              <w:right w:val="nil"/>
            </w:tcBorders>
            <w:shd w:val="clear" w:color="auto" w:fill="auto"/>
            <w:noWrap/>
            <w:vAlign w:val="center"/>
            <w:hideMark/>
          </w:tcPr>
          <w:p w14:paraId="69FAF7FC"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0.769</w:t>
            </w:r>
          </w:p>
        </w:tc>
      </w:tr>
      <w:tr w:rsidR="000B6FCC" w:rsidRPr="000B6FCC" w14:paraId="329AA500" w14:textId="77777777" w:rsidTr="000B6FCC">
        <w:trPr>
          <w:trHeight w:val="300"/>
        </w:trPr>
        <w:tc>
          <w:tcPr>
            <w:tcW w:w="4000" w:type="dxa"/>
            <w:tcBorders>
              <w:top w:val="nil"/>
              <w:left w:val="nil"/>
              <w:bottom w:val="nil"/>
              <w:right w:val="nil"/>
            </w:tcBorders>
            <w:shd w:val="clear" w:color="auto" w:fill="auto"/>
            <w:noWrap/>
            <w:vAlign w:val="bottom"/>
            <w:hideMark/>
          </w:tcPr>
          <w:p w14:paraId="48D74CC1" w14:textId="77777777" w:rsidR="000B6FCC" w:rsidRPr="000B6FCC" w:rsidRDefault="000B6FCC" w:rsidP="000B6FCC">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center"/>
            <w:hideMark/>
          </w:tcPr>
          <w:p w14:paraId="06A86DA5" w14:textId="77777777" w:rsidR="000B6FCC" w:rsidRPr="000B6FCC" w:rsidRDefault="000B6FCC" w:rsidP="000B6FCC">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14:paraId="06830B24" w14:textId="77777777" w:rsidR="000B6FCC" w:rsidRPr="000B6FCC" w:rsidRDefault="000B6FCC" w:rsidP="000B6FCC">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14:paraId="6C4F2065" w14:textId="77777777" w:rsidR="000B6FCC" w:rsidRPr="000B6FCC" w:rsidRDefault="000B6FCC" w:rsidP="000B6FCC">
            <w:pPr>
              <w:spacing w:after="0" w:line="240" w:lineRule="auto"/>
              <w:jc w:val="center"/>
              <w:rPr>
                <w:rFonts w:ascii="Calibri" w:eastAsia="Times New Roman" w:hAnsi="Calibri" w:cs="Times New Roman"/>
                <w:color w:val="000000"/>
              </w:rPr>
            </w:pPr>
          </w:p>
        </w:tc>
      </w:tr>
      <w:tr w:rsidR="000B6FCC" w:rsidRPr="000B6FCC" w14:paraId="7F931B44" w14:textId="77777777" w:rsidTr="000B6FCC">
        <w:trPr>
          <w:trHeight w:val="300"/>
        </w:trPr>
        <w:tc>
          <w:tcPr>
            <w:tcW w:w="4000" w:type="dxa"/>
            <w:tcBorders>
              <w:top w:val="nil"/>
              <w:left w:val="nil"/>
              <w:bottom w:val="nil"/>
              <w:right w:val="nil"/>
            </w:tcBorders>
            <w:shd w:val="clear" w:color="auto" w:fill="auto"/>
            <w:noWrap/>
            <w:vAlign w:val="bottom"/>
            <w:hideMark/>
          </w:tcPr>
          <w:p w14:paraId="71B8B076" w14:textId="77777777"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Age (years)</w:t>
            </w:r>
          </w:p>
        </w:tc>
        <w:tc>
          <w:tcPr>
            <w:tcW w:w="980" w:type="dxa"/>
            <w:tcBorders>
              <w:top w:val="nil"/>
              <w:left w:val="nil"/>
              <w:bottom w:val="nil"/>
              <w:right w:val="nil"/>
            </w:tcBorders>
            <w:shd w:val="clear" w:color="auto" w:fill="auto"/>
            <w:noWrap/>
            <w:vAlign w:val="center"/>
            <w:hideMark/>
          </w:tcPr>
          <w:p w14:paraId="5556994D"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1.045</w:t>
            </w:r>
          </w:p>
        </w:tc>
        <w:tc>
          <w:tcPr>
            <w:tcW w:w="1540" w:type="dxa"/>
            <w:tcBorders>
              <w:top w:val="nil"/>
              <w:left w:val="nil"/>
              <w:bottom w:val="nil"/>
              <w:right w:val="nil"/>
            </w:tcBorders>
            <w:shd w:val="clear" w:color="auto" w:fill="auto"/>
            <w:noWrap/>
            <w:vAlign w:val="center"/>
            <w:hideMark/>
          </w:tcPr>
          <w:p w14:paraId="7643F151"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1.026 - 1.063</w:t>
            </w:r>
          </w:p>
        </w:tc>
        <w:tc>
          <w:tcPr>
            <w:tcW w:w="1428" w:type="dxa"/>
            <w:tcBorders>
              <w:top w:val="nil"/>
              <w:left w:val="nil"/>
              <w:bottom w:val="nil"/>
              <w:right w:val="nil"/>
            </w:tcBorders>
            <w:shd w:val="clear" w:color="auto" w:fill="auto"/>
            <w:noWrap/>
            <w:vAlign w:val="center"/>
            <w:hideMark/>
          </w:tcPr>
          <w:p w14:paraId="278DA22B"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&lt; 0.001</w:t>
            </w:r>
          </w:p>
        </w:tc>
      </w:tr>
      <w:tr w:rsidR="000B6FCC" w:rsidRPr="000B6FCC" w14:paraId="04916075" w14:textId="77777777" w:rsidTr="000B6FCC">
        <w:trPr>
          <w:trHeight w:val="300"/>
        </w:trPr>
        <w:tc>
          <w:tcPr>
            <w:tcW w:w="4000" w:type="dxa"/>
            <w:tcBorders>
              <w:top w:val="nil"/>
              <w:left w:val="nil"/>
              <w:bottom w:val="single" w:sz="4" w:space="0" w:color="auto"/>
              <w:right w:val="nil"/>
            </w:tcBorders>
            <w:shd w:val="clear" w:color="auto" w:fill="auto"/>
            <w:noWrap/>
            <w:vAlign w:val="bottom"/>
            <w:hideMark/>
          </w:tcPr>
          <w:p w14:paraId="498A0321" w14:textId="77777777"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14:paraId="4EA6D38B" w14:textId="77777777"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 </w:t>
            </w:r>
          </w:p>
        </w:tc>
        <w:tc>
          <w:tcPr>
            <w:tcW w:w="1540" w:type="dxa"/>
            <w:tcBorders>
              <w:top w:val="nil"/>
              <w:left w:val="nil"/>
              <w:bottom w:val="single" w:sz="4" w:space="0" w:color="auto"/>
              <w:right w:val="nil"/>
            </w:tcBorders>
            <w:shd w:val="clear" w:color="auto" w:fill="auto"/>
            <w:noWrap/>
            <w:vAlign w:val="bottom"/>
            <w:hideMark/>
          </w:tcPr>
          <w:p w14:paraId="710E4B11" w14:textId="77777777"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 </w:t>
            </w:r>
          </w:p>
        </w:tc>
        <w:tc>
          <w:tcPr>
            <w:tcW w:w="1428" w:type="dxa"/>
            <w:tcBorders>
              <w:top w:val="nil"/>
              <w:left w:val="nil"/>
              <w:bottom w:val="single" w:sz="4" w:space="0" w:color="auto"/>
              <w:right w:val="nil"/>
            </w:tcBorders>
            <w:shd w:val="clear" w:color="auto" w:fill="auto"/>
            <w:noWrap/>
            <w:vAlign w:val="bottom"/>
            <w:hideMark/>
          </w:tcPr>
          <w:p w14:paraId="4C62C7A2" w14:textId="77777777"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 </w:t>
            </w:r>
          </w:p>
        </w:tc>
      </w:tr>
      <w:tr w:rsidR="000B6FCC" w:rsidRPr="000B6FCC" w14:paraId="1A7B2FA5" w14:textId="77777777" w:rsidTr="000B6FCC">
        <w:trPr>
          <w:trHeight w:val="300"/>
        </w:trPr>
        <w:tc>
          <w:tcPr>
            <w:tcW w:w="4000" w:type="dxa"/>
            <w:tcBorders>
              <w:top w:val="nil"/>
              <w:left w:val="nil"/>
              <w:bottom w:val="nil"/>
              <w:right w:val="nil"/>
            </w:tcBorders>
            <w:shd w:val="clear" w:color="auto" w:fill="auto"/>
            <w:noWrap/>
            <w:vAlign w:val="bottom"/>
            <w:hideMark/>
          </w:tcPr>
          <w:p w14:paraId="582E0A5F" w14:textId="77777777"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Wald test = 141.53</w:t>
            </w:r>
          </w:p>
        </w:tc>
        <w:tc>
          <w:tcPr>
            <w:tcW w:w="980" w:type="dxa"/>
            <w:tcBorders>
              <w:top w:val="nil"/>
              <w:left w:val="nil"/>
              <w:bottom w:val="nil"/>
              <w:right w:val="nil"/>
            </w:tcBorders>
            <w:shd w:val="clear" w:color="auto" w:fill="auto"/>
            <w:noWrap/>
            <w:vAlign w:val="bottom"/>
            <w:hideMark/>
          </w:tcPr>
          <w:p w14:paraId="7950BC3E" w14:textId="77777777" w:rsidR="000B6FCC" w:rsidRPr="000B6FCC" w:rsidRDefault="000B6FCC" w:rsidP="000B6FCC">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14:paraId="29529FA5" w14:textId="77777777" w:rsidR="000B6FCC" w:rsidRPr="000B6FCC" w:rsidRDefault="000B6FCC" w:rsidP="000B6FCC">
            <w:pPr>
              <w:spacing w:after="0" w:line="240" w:lineRule="auto"/>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14:paraId="61C34000" w14:textId="77777777"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p &lt; 0.0001</w:t>
            </w:r>
          </w:p>
        </w:tc>
      </w:tr>
    </w:tbl>
    <w:p w14:paraId="02DF9926" w14:textId="77777777" w:rsidR="000B6FCC" w:rsidRDefault="000B6FCC" w:rsidP="000A717E"/>
    <w:p w14:paraId="5702EFDD" w14:textId="77777777" w:rsidR="002412C5" w:rsidRDefault="002412C5" w:rsidP="002412C5">
      <w:r>
        <w:t>Table 4– Cox proportional-hazards regression of time to death from any cause of death by serum bilirubin levels log-transformed adjusted for age and sex (excluding the missing values).</w:t>
      </w:r>
    </w:p>
    <w:tbl>
      <w:tblPr>
        <w:tblW w:w="7948" w:type="dxa"/>
        <w:tblInd w:w="98" w:type="dxa"/>
        <w:tblLook w:val="04A0" w:firstRow="1" w:lastRow="0" w:firstColumn="1" w:lastColumn="0" w:noHBand="0" w:noVBand="1"/>
      </w:tblPr>
      <w:tblGrid>
        <w:gridCol w:w="4000"/>
        <w:gridCol w:w="980"/>
        <w:gridCol w:w="1540"/>
        <w:gridCol w:w="1428"/>
      </w:tblGrid>
      <w:tr w:rsidR="002412C5" w:rsidRPr="002412C5" w14:paraId="24D863EB" w14:textId="77777777" w:rsidTr="00EF169F">
        <w:trPr>
          <w:trHeight w:val="600"/>
        </w:trPr>
        <w:tc>
          <w:tcPr>
            <w:tcW w:w="4000" w:type="dxa"/>
            <w:tcBorders>
              <w:top w:val="single" w:sz="4" w:space="0" w:color="auto"/>
              <w:left w:val="nil"/>
              <w:bottom w:val="single" w:sz="4" w:space="0" w:color="auto"/>
              <w:right w:val="nil"/>
            </w:tcBorders>
            <w:shd w:val="clear" w:color="auto" w:fill="auto"/>
            <w:vAlign w:val="center"/>
            <w:hideMark/>
          </w:tcPr>
          <w:p w14:paraId="26B8DFCF" w14:textId="77777777" w:rsidR="002412C5" w:rsidRPr="002412C5" w:rsidRDefault="002412C5" w:rsidP="002412C5">
            <w:pPr>
              <w:spacing w:after="0" w:line="240" w:lineRule="auto"/>
              <w:jc w:val="center"/>
              <w:rPr>
                <w:rFonts w:ascii="Calibri" w:eastAsia="Times New Roman" w:hAnsi="Calibri" w:cs="Times New Roman"/>
                <w:b/>
                <w:bCs/>
                <w:color w:val="000000"/>
              </w:rPr>
            </w:pPr>
            <w:r w:rsidRPr="002412C5">
              <w:rPr>
                <w:rFonts w:ascii="Calibri" w:eastAsia="Times New Roman" w:hAnsi="Calibri" w:cs="Times New Roman"/>
                <w:b/>
                <w:bCs/>
                <w:color w:val="000000"/>
              </w:rPr>
              <w:t>Variable</w:t>
            </w:r>
          </w:p>
        </w:tc>
        <w:tc>
          <w:tcPr>
            <w:tcW w:w="980" w:type="dxa"/>
            <w:tcBorders>
              <w:top w:val="single" w:sz="4" w:space="0" w:color="auto"/>
              <w:left w:val="nil"/>
              <w:bottom w:val="single" w:sz="4" w:space="0" w:color="auto"/>
              <w:right w:val="nil"/>
            </w:tcBorders>
            <w:shd w:val="clear" w:color="auto" w:fill="auto"/>
            <w:vAlign w:val="center"/>
            <w:hideMark/>
          </w:tcPr>
          <w:p w14:paraId="1D6ECF9C" w14:textId="77777777" w:rsidR="002412C5" w:rsidRPr="002412C5" w:rsidRDefault="002412C5" w:rsidP="002412C5">
            <w:pPr>
              <w:spacing w:after="0" w:line="240" w:lineRule="auto"/>
              <w:jc w:val="center"/>
              <w:rPr>
                <w:rFonts w:ascii="Calibri" w:eastAsia="Times New Roman" w:hAnsi="Calibri" w:cs="Times New Roman"/>
                <w:b/>
                <w:bCs/>
                <w:color w:val="000000"/>
              </w:rPr>
            </w:pPr>
            <w:r w:rsidRPr="002412C5">
              <w:rPr>
                <w:rFonts w:ascii="Calibri" w:eastAsia="Times New Roman" w:hAnsi="Calibri" w:cs="Times New Roman"/>
                <w:b/>
                <w:bCs/>
                <w:color w:val="000000"/>
              </w:rPr>
              <w:t>Hazard Ratio</w:t>
            </w:r>
          </w:p>
        </w:tc>
        <w:tc>
          <w:tcPr>
            <w:tcW w:w="1540" w:type="dxa"/>
            <w:tcBorders>
              <w:top w:val="single" w:sz="4" w:space="0" w:color="auto"/>
              <w:left w:val="nil"/>
              <w:bottom w:val="single" w:sz="4" w:space="0" w:color="auto"/>
              <w:right w:val="nil"/>
            </w:tcBorders>
            <w:shd w:val="clear" w:color="auto" w:fill="auto"/>
            <w:noWrap/>
            <w:vAlign w:val="center"/>
            <w:hideMark/>
          </w:tcPr>
          <w:p w14:paraId="3F1F4B1F" w14:textId="77777777" w:rsidR="002412C5" w:rsidRPr="002412C5" w:rsidRDefault="002412C5" w:rsidP="002412C5">
            <w:pPr>
              <w:spacing w:after="0" w:line="240" w:lineRule="auto"/>
              <w:jc w:val="center"/>
              <w:rPr>
                <w:rFonts w:ascii="Calibri" w:eastAsia="Times New Roman" w:hAnsi="Calibri" w:cs="Times New Roman"/>
                <w:b/>
                <w:bCs/>
                <w:color w:val="000000"/>
              </w:rPr>
            </w:pPr>
            <w:r w:rsidRPr="002412C5">
              <w:rPr>
                <w:rFonts w:ascii="Calibri" w:eastAsia="Times New Roman" w:hAnsi="Calibri" w:cs="Times New Roman"/>
                <w:b/>
                <w:bCs/>
                <w:color w:val="000000"/>
              </w:rPr>
              <w:t>95% CI</w:t>
            </w:r>
          </w:p>
        </w:tc>
        <w:tc>
          <w:tcPr>
            <w:tcW w:w="1428" w:type="dxa"/>
            <w:tcBorders>
              <w:top w:val="single" w:sz="4" w:space="0" w:color="auto"/>
              <w:left w:val="nil"/>
              <w:bottom w:val="single" w:sz="4" w:space="0" w:color="auto"/>
              <w:right w:val="nil"/>
            </w:tcBorders>
            <w:shd w:val="clear" w:color="auto" w:fill="auto"/>
            <w:noWrap/>
            <w:vAlign w:val="center"/>
            <w:hideMark/>
          </w:tcPr>
          <w:p w14:paraId="2E91A7A0" w14:textId="77777777" w:rsidR="002412C5" w:rsidRPr="002412C5" w:rsidRDefault="002412C5" w:rsidP="002412C5">
            <w:pPr>
              <w:spacing w:after="0" w:line="240" w:lineRule="auto"/>
              <w:jc w:val="center"/>
              <w:rPr>
                <w:rFonts w:ascii="Calibri" w:eastAsia="Times New Roman" w:hAnsi="Calibri" w:cs="Times New Roman"/>
                <w:b/>
                <w:bCs/>
                <w:color w:val="000000"/>
              </w:rPr>
            </w:pPr>
            <w:r w:rsidRPr="002412C5">
              <w:rPr>
                <w:rFonts w:ascii="Calibri" w:eastAsia="Times New Roman" w:hAnsi="Calibri" w:cs="Times New Roman"/>
                <w:b/>
                <w:bCs/>
                <w:color w:val="000000"/>
              </w:rPr>
              <w:t>p</w:t>
            </w:r>
          </w:p>
        </w:tc>
      </w:tr>
      <w:tr w:rsidR="002412C5" w:rsidRPr="002412C5" w14:paraId="61B48A72" w14:textId="77777777" w:rsidTr="00EF169F">
        <w:trPr>
          <w:trHeight w:val="300"/>
        </w:trPr>
        <w:tc>
          <w:tcPr>
            <w:tcW w:w="4000" w:type="dxa"/>
            <w:tcBorders>
              <w:top w:val="nil"/>
              <w:left w:val="nil"/>
              <w:bottom w:val="nil"/>
              <w:right w:val="nil"/>
            </w:tcBorders>
            <w:shd w:val="clear" w:color="auto" w:fill="auto"/>
            <w:noWrap/>
            <w:vAlign w:val="bottom"/>
            <w:hideMark/>
          </w:tcPr>
          <w:p w14:paraId="1C7DEA17" w14:textId="77777777"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Total cases in the model</w:t>
            </w:r>
          </w:p>
        </w:tc>
        <w:tc>
          <w:tcPr>
            <w:tcW w:w="980" w:type="dxa"/>
            <w:tcBorders>
              <w:top w:val="nil"/>
              <w:left w:val="nil"/>
              <w:bottom w:val="nil"/>
              <w:right w:val="nil"/>
            </w:tcBorders>
            <w:shd w:val="clear" w:color="auto" w:fill="auto"/>
            <w:noWrap/>
            <w:vAlign w:val="center"/>
            <w:hideMark/>
          </w:tcPr>
          <w:p w14:paraId="258A4548"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312</w:t>
            </w:r>
          </w:p>
        </w:tc>
        <w:tc>
          <w:tcPr>
            <w:tcW w:w="1540" w:type="dxa"/>
            <w:tcBorders>
              <w:top w:val="nil"/>
              <w:left w:val="nil"/>
              <w:bottom w:val="nil"/>
              <w:right w:val="nil"/>
            </w:tcBorders>
            <w:shd w:val="clear" w:color="auto" w:fill="auto"/>
            <w:noWrap/>
            <w:vAlign w:val="center"/>
            <w:hideMark/>
          </w:tcPr>
          <w:p w14:paraId="4490953A" w14:textId="77777777" w:rsidR="002412C5" w:rsidRPr="002412C5" w:rsidRDefault="002412C5" w:rsidP="002412C5">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14:paraId="79B9A324" w14:textId="77777777" w:rsidR="002412C5" w:rsidRPr="002412C5" w:rsidRDefault="002412C5" w:rsidP="002412C5">
            <w:pPr>
              <w:spacing w:after="0" w:line="240" w:lineRule="auto"/>
              <w:rPr>
                <w:rFonts w:ascii="Calibri" w:eastAsia="Times New Roman" w:hAnsi="Calibri" w:cs="Times New Roman"/>
                <w:color w:val="000000"/>
              </w:rPr>
            </w:pPr>
          </w:p>
        </w:tc>
      </w:tr>
      <w:tr w:rsidR="002412C5" w:rsidRPr="002412C5" w14:paraId="2CD4274C" w14:textId="77777777" w:rsidTr="00EF169F">
        <w:trPr>
          <w:trHeight w:val="300"/>
        </w:trPr>
        <w:tc>
          <w:tcPr>
            <w:tcW w:w="4000" w:type="dxa"/>
            <w:tcBorders>
              <w:top w:val="nil"/>
              <w:left w:val="nil"/>
              <w:bottom w:val="nil"/>
              <w:right w:val="nil"/>
            </w:tcBorders>
            <w:shd w:val="clear" w:color="auto" w:fill="auto"/>
            <w:noWrap/>
            <w:vAlign w:val="bottom"/>
            <w:hideMark/>
          </w:tcPr>
          <w:p w14:paraId="663026AE" w14:textId="77777777" w:rsidR="002412C5" w:rsidRPr="002412C5" w:rsidRDefault="002412C5" w:rsidP="002412C5">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14:paraId="6048D74C" w14:textId="77777777" w:rsidR="002412C5" w:rsidRPr="002412C5" w:rsidRDefault="002412C5" w:rsidP="002412C5">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14:paraId="657862A3" w14:textId="77777777" w:rsidR="002412C5" w:rsidRPr="002412C5" w:rsidRDefault="002412C5" w:rsidP="002412C5">
            <w:pPr>
              <w:spacing w:after="0" w:line="240" w:lineRule="auto"/>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14:paraId="566CF3DC" w14:textId="77777777" w:rsidR="002412C5" w:rsidRPr="002412C5" w:rsidRDefault="002412C5" w:rsidP="002412C5">
            <w:pPr>
              <w:spacing w:after="0" w:line="240" w:lineRule="auto"/>
              <w:rPr>
                <w:rFonts w:ascii="Calibri" w:eastAsia="Times New Roman" w:hAnsi="Calibri" w:cs="Times New Roman"/>
                <w:color w:val="000000"/>
              </w:rPr>
            </w:pPr>
          </w:p>
        </w:tc>
      </w:tr>
      <w:tr w:rsidR="002412C5" w:rsidRPr="002412C5" w14:paraId="54F48932" w14:textId="77777777" w:rsidTr="00EF169F">
        <w:trPr>
          <w:trHeight w:val="300"/>
        </w:trPr>
        <w:tc>
          <w:tcPr>
            <w:tcW w:w="4000" w:type="dxa"/>
            <w:tcBorders>
              <w:top w:val="nil"/>
              <w:left w:val="nil"/>
              <w:bottom w:val="nil"/>
              <w:right w:val="nil"/>
            </w:tcBorders>
            <w:shd w:val="clear" w:color="auto" w:fill="auto"/>
            <w:noWrap/>
            <w:vAlign w:val="bottom"/>
            <w:hideMark/>
          </w:tcPr>
          <w:p w14:paraId="61F4696C" w14:textId="77777777"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Logarithm base 2 of serum bilirubin levels</w:t>
            </w:r>
          </w:p>
        </w:tc>
        <w:tc>
          <w:tcPr>
            <w:tcW w:w="980" w:type="dxa"/>
            <w:tcBorders>
              <w:top w:val="nil"/>
              <w:left w:val="nil"/>
              <w:bottom w:val="nil"/>
              <w:right w:val="nil"/>
            </w:tcBorders>
            <w:shd w:val="clear" w:color="auto" w:fill="auto"/>
            <w:noWrap/>
            <w:vAlign w:val="center"/>
            <w:hideMark/>
          </w:tcPr>
          <w:p w14:paraId="787D33C4"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2.108</w:t>
            </w:r>
          </w:p>
        </w:tc>
        <w:tc>
          <w:tcPr>
            <w:tcW w:w="1540" w:type="dxa"/>
            <w:tcBorders>
              <w:top w:val="nil"/>
              <w:left w:val="nil"/>
              <w:bottom w:val="nil"/>
              <w:right w:val="nil"/>
            </w:tcBorders>
            <w:shd w:val="clear" w:color="auto" w:fill="auto"/>
            <w:noWrap/>
            <w:vAlign w:val="center"/>
            <w:hideMark/>
          </w:tcPr>
          <w:p w14:paraId="7637D6BE"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1.840 - 2.416</w:t>
            </w:r>
          </w:p>
        </w:tc>
        <w:tc>
          <w:tcPr>
            <w:tcW w:w="1428" w:type="dxa"/>
            <w:tcBorders>
              <w:top w:val="nil"/>
              <w:left w:val="nil"/>
              <w:bottom w:val="nil"/>
              <w:right w:val="nil"/>
            </w:tcBorders>
            <w:shd w:val="clear" w:color="auto" w:fill="auto"/>
            <w:noWrap/>
            <w:vAlign w:val="center"/>
            <w:hideMark/>
          </w:tcPr>
          <w:p w14:paraId="573630A2"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&lt; 0.001</w:t>
            </w:r>
          </w:p>
        </w:tc>
      </w:tr>
      <w:tr w:rsidR="002412C5" w:rsidRPr="002412C5" w14:paraId="1F63C23A" w14:textId="77777777" w:rsidTr="00EF169F">
        <w:trPr>
          <w:trHeight w:val="300"/>
        </w:trPr>
        <w:tc>
          <w:tcPr>
            <w:tcW w:w="4000" w:type="dxa"/>
            <w:tcBorders>
              <w:top w:val="nil"/>
              <w:left w:val="nil"/>
              <w:bottom w:val="nil"/>
              <w:right w:val="nil"/>
            </w:tcBorders>
            <w:shd w:val="clear" w:color="auto" w:fill="auto"/>
            <w:noWrap/>
            <w:vAlign w:val="bottom"/>
            <w:hideMark/>
          </w:tcPr>
          <w:p w14:paraId="444034E8" w14:textId="77777777" w:rsidR="002412C5" w:rsidRPr="002412C5" w:rsidRDefault="002412C5" w:rsidP="002412C5">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center"/>
            <w:hideMark/>
          </w:tcPr>
          <w:p w14:paraId="6E3A77C7" w14:textId="77777777" w:rsidR="002412C5" w:rsidRPr="002412C5" w:rsidRDefault="002412C5" w:rsidP="002412C5">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14:paraId="541202C8" w14:textId="77777777" w:rsidR="002412C5" w:rsidRPr="002412C5" w:rsidRDefault="002412C5" w:rsidP="002412C5">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14:paraId="5201854D" w14:textId="77777777" w:rsidR="002412C5" w:rsidRPr="002412C5" w:rsidRDefault="002412C5" w:rsidP="002412C5">
            <w:pPr>
              <w:spacing w:after="0" w:line="240" w:lineRule="auto"/>
              <w:jc w:val="center"/>
              <w:rPr>
                <w:rFonts w:ascii="Calibri" w:eastAsia="Times New Roman" w:hAnsi="Calibri" w:cs="Times New Roman"/>
                <w:color w:val="000000"/>
              </w:rPr>
            </w:pPr>
          </w:p>
        </w:tc>
      </w:tr>
      <w:tr w:rsidR="002412C5" w:rsidRPr="002412C5" w14:paraId="7A53E1F7" w14:textId="77777777" w:rsidTr="00EF169F">
        <w:trPr>
          <w:trHeight w:val="300"/>
        </w:trPr>
        <w:tc>
          <w:tcPr>
            <w:tcW w:w="4000" w:type="dxa"/>
            <w:tcBorders>
              <w:top w:val="nil"/>
              <w:left w:val="nil"/>
              <w:bottom w:val="nil"/>
              <w:right w:val="nil"/>
            </w:tcBorders>
            <w:shd w:val="clear" w:color="auto" w:fill="auto"/>
            <w:noWrap/>
            <w:vAlign w:val="bottom"/>
            <w:hideMark/>
          </w:tcPr>
          <w:p w14:paraId="511EEA16" w14:textId="77777777"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Gender</w:t>
            </w:r>
          </w:p>
        </w:tc>
        <w:tc>
          <w:tcPr>
            <w:tcW w:w="980" w:type="dxa"/>
            <w:tcBorders>
              <w:top w:val="nil"/>
              <w:left w:val="nil"/>
              <w:bottom w:val="nil"/>
              <w:right w:val="nil"/>
            </w:tcBorders>
            <w:shd w:val="clear" w:color="auto" w:fill="auto"/>
            <w:noWrap/>
            <w:vAlign w:val="center"/>
            <w:hideMark/>
          </w:tcPr>
          <w:p w14:paraId="2A071E9E" w14:textId="77777777" w:rsidR="002412C5" w:rsidRPr="002412C5" w:rsidRDefault="002412C5" w:rsidP="002412C5">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14:paraId="6E2E57F5" w14:textId="77777777" w:rsidR="002412C5" w:rsidRPr="002412C5" w:rsidRDefault="002412C5" w:rsidP="002412C5">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14:paraId="02F13391" w14:textId="77777777" w:rsidR="002412C5" w:rsidRPr="002412C5" w:rsidRDefault="002412C5" w:rsidP="002412C5">
            <w:pPr>
              <w:spacing w:after="0" w:line="240" w:lineRule="auto"/>
              <w:jc w:val="center"/>
              <w:rPr>
                <w:rFonts w:ascii="Calibri" w:eastAsia="Times New Roman" w:hAnsi="Calibri" w:cs="Times New Roman"/>
                <w:color w:val="000000"/>
              </w:rPr>
            </w:pPr>
          </w:p>
        </w:tc>
      </w:tr>
      <w:tr w:rsidR="002412C5" w:rsidRPr="002412C5" w14:paraId="4C748E67" w14:textId="77777777" w:rsidTr="00EF169F">
        <w:trPr>
          <w:trHeight w:val="300"/>
        </w:trPr>
        <w:tc>
          <w:tcPr>
            <w:tcW w:w="4000" w:type="dxa"/>
            <w:tcBorders>
              <w:top w:val="nil"/>
              <w:left w:val="nil"/>
              <w:bottom w:val="nil"/>
              <w:right w:val="nil"/>
            </w:tcBorders>
            <w:shd w:val="clear" w:color="auto" w:fill="auto"/>
            <w:noWrap/>
            <w:vAlign w:val="bottom"/>
            <w:hideMark/>
          </w:tcPr>
          <w:p w14:paraId="7F10CBF2" w14:textId="77777777" w:rsidR="002412C5" w:rsidRPr="002412C5" w:rsidRDefault="002412C5" w:rsidP="002412C5">
            <w:pPr>
              <w:spacing w:after="0" w:line="240" w:lineRule="auto"/>
              <w:ind w:firstLineChars="100" w:firstLine="220"/>
              <w:rPr>
                <w:rFonts w:ascii="Calibri" w:eastAsia="Times New Roman" w:hAnsi="Calibri" w:cs="Times New Roman"/>
                <w:color w:val="000000"/>
              </w:rPr>
            </w:pPr>
            <w:r w:rsidRPr="002412C5">
              <w:rPr>
                <w:rFonts w:ascii="Calibri" w:eastAsia="Times New Roman" w:hAnsi="Calibri" w:cs="Times New Roman"/>
                <w:color w:val="000000"/>
              </w:rPr>
              <w:t>Male</w:t>
            </w:r>
          </w:p>
        </w:tc>
        <w:tc>
          <w:tcPr>
            <w:tcW w:w="980" w:type="dxa"/>
            <w:tcBorders>
              <w:top w:val="nil"/>
              <w:left w:val="nil"/>
              <w:bottom w:val="nil"/>
              <w:right w:val="nil"/>
            </w:tcBorders>
            <w:shd w:val="clear" w:color="auto" w:fill="auto"/>
            <w:noWrap/>
            <w:vAlign w:val="center"/>
            <w:hideMark/>
          </w:tcPr>
          <w:p w14:paraId="426D0690"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1.000</w:t>
            </w:r>
          </w:p>
        </w:tc>
        <w:tc>
          <w:tcPr>
            <w:tcW w:w="1540" w:type="dxa"/>
            <w:tcBorders>
              <w:top w:val="nil"/>
              <w:left w:val="nil"/>
              <w:bottom w:val="nil"/>
              <w:right w:val="nil"/>
            </w:tcBorders>
            <w:shd w:val="clear" w:color="auto" w:fill="auto"/>
            <w:noWrap/>
            <w:vAlign w:val="center"/>
            <w:hideMark/>
          </w:tcPr>
          <w:p w14:paraId="6BA1A1B2"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w:t>
            </w:r>
          </w:p>
        </w:tc>
        <w:tc>
          <w:tcPr>
            <w:tcW w:w="1428" w:type="dxa"/>
            <w:tcBorders>
              <w:top w:val="nil"/>
              <w:left w:val="nil"/>
              <w:bottom w:val="nil"/>
              <w:right w:val="nil"/>
            </w:tcBorders>
            <w:shd w:val="clear" w:color="auto" w:fill="auto"/>
            <w:noWrap/>
            <w:vAlign w:val="center"/>
            <w:hideMark/>
          </w:tcPr>
          <w:p w14:paraId="32C50C45" w14:textId="77777777" w:rsidR="002412C5" w:rsidRPr="002412C5" w:rsidRDefault="002412C5" w:rsidP="002412C5">
            <w:pPr>
              <w:spacing w:after="0" w:line="240" w:lineRule="auto"/>
              <w:jc w:val="center"/>
              <w:rPr>
                <w:rFonts w:ascii="Calibri" w:eastAsia="Times New Roman" w:hAnsi="Calibri" w:cs="Times New Roman"/>
                <w:color w:val="000000"/>
              </w:rPr>
            </w:pPr>
          </w:p>
        </w:tc>
      </w:tr>
      <w:tr w:rsidR="002412C5" w:rsidRPr="002412C5" w14:paraId="126A01EB" w14:textId="77777777" w:rsidTr="00EF169F">
        <w:trPr>
          <w:trHeight w:val="300"/>
        </w:trPr>
        <w:tc>
          <w:tcPr>
            <w:tcW w:w="4000" w:type="dxa"/>
            <w:tcBorders>
              <w:top w:val="nil"/>
              <w:left w:val="nil"/>
              <w:bottom w:val="nil"/>
              <w:right w:val="nil"/>
            </w:tcBorders>
            <w:shd w:val="clear" w:color="auto" w:fill="auto"/>
            <w:noWrap/>
            <w:vAlign w:val="bottom"/>
            <w:hideMark/>
          </w:tcPr>
          <w:p w14:paraId="2E87EF5E" w14:textId="77777777" w:rsidR="002412C5" w:rsidRPr="002412C5" w:rsidRDefault="002412C5" w:rsidP="002412C5">
            <w:pPr>
              <w:spacing w:after="0" w:line="240" w:lineRule="auto"/>
              <w:ind w:firstLineChars="100" w:firstLine="220"/>
              <w:rPr>
                <w:rFonts w:ascii="Calibri" w:eastAsia="Times New Roman" w:hAnsi="Calibri" w:cs="Times New Roman"/>
                <w:color w:val="000000"/>
              </w:rPr>
            </w:pPr>
            <w:r w:rsidRPr="002412C5">
              <w:rPr>
                <w:rFonts w:ascii="Calibri" w:eastAsia="Times New Roman" w:hAnsi="Calibri" w:cs="Times New Roman"/>
                <w:color w:val="000000"/>
              </w:rPr>
              <w:t>Female</w:t>
            </w:r>
          </w:p>
        </w:tc>
        <w:tc>
          <w:tcPr>
            <w:tcW w:w="980" w:type="dxa"/>
            <w:tcBorders>
              <w:top w:val="nil"/>
              <w:left w:val="nil"/>
              <w:bottom w:val="nil"/>
              <w:right w:val="nil"/>
            </w:tcBorders>
            <w:shd w:val="clear" w:color="auto" w:fill="auto"/>
            <w:noWrap/>
            <w:vAlign w:val="center"/>
            <w:hideMark/>
          </w:tcPr>
          <w:p w14:paraId="2FF6BCD8"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0.934</w:t>
            </w:r>
          </w:p>
        </w:tc>
        <w:tc>
          <w:tcPr>
            <w:tcW w:w="1540" w:type="dxa"/>
            <w:tcBorders>
              <w:top w:val="nil"/>
              <w:left w:val="nil"/>
              <w:bottom w:val="nil"/>
              <w:right w:val="nil"/>
            </w:tcBorders>
            <w:shd w:val="clear" w:color="auto" w:fill="auto"/>
            <w:noWrap/>
            <w:vAlign w:val="center"/>
            <w:hideMark/>
          </w:tcPr>
          <w:p w14:paraId="27B78030"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0.552 - 1.581</w:t>
            </w:r>
          </w:p>
        </w:tc>
        <w:tc>
          <w:tcPr>
            <w:tcW w:w="1428" w:type="dxa"/>
            <w:tcBorders>
              <w:top w:val="nil"/>
              <w:left w:val="nil"/>
              <w:bottom w:val="nil"/>
              <w:right w:val="nil"/>
            </w:tcBorders>
            <w:shd w:val="clear" w:color="auto" w:fill="auto"/>
            <w:noWrap/>
            <w:vAlign w:val="center"/>
            <w:hideMark/>
          </w:tcPr>
          <w:p w14:paraId="45BD837C"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0.799</w:t>
            </w:r>
          </w:p>
        </w:tc>
      </w:tr>
      <w:tr w:rsidR="002412C5" w:rsidRPr="002412C5" w14:paraId="6BF4421D" w14:textId="77777777" w:rsidTr="00EF169F">
        <w:trPr>
          <w:trHeight w:val="300"/>
        </w:trPr>
        <w:tc>
          <w:tcPr>
            <w:tcW w:w="4000" w:type="dxa"/>
            <w:tcBorders>
              <w:top w:val="nil"/>
              <w:left w:val="nil"/>
              <w:bottom w:val="nil"/>
              <w:right w:val="nil"/>
            </w:tcBorders>
            <w:shd w:val="clear" w:color="auto" w:fill="auto"/>
            <w:noWrap/>
            <w:vAlign w:val="bottom"/>
            <w:hideMark/>
          </w:tcPr>
          <w:p w14:paraId="07D84DFF" w14:textId="77777777" w:rsidR="002412C5" w:rsidRPr="002412C5" w:rsidRDefault="002412C5" w:rsidP="002412C5">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center"/>
            <w:hideMark/>
          </w:tcPr>
          <w:p w14:paraId="1034D6E7" w14:textId="77777777" w:rsidR="002412C5" w:rsidRPr="002412C5" w:rsidRDefault="002412C5" w:rsidP="002412C5">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14:paraId="56251649" w14:textId="77777777" w:rsidR="002412C5" w:rsidRPr="002412C5" w:rsidRDefault="002412C5" w:rsidP="002412C5">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14:paraId="67D4DB77" w14:textId="77777777" w:rsidR="002412C5" w:rsidRPr="002412C5" w:rsidRDefault="002412C5" w:rsidP="002412C5">
            <w:pPr>
              <w:spacing w:after="0" w:line="240" w:lineRule="auto"/>
              <w:jc w:val="center"/>
              <w:rPr>
                <w:rFonts w:ascii="Calibri" w:eastAsia="Times New Roman" w:hAnsi="Calibri" w:cs="Times New Roman"/>
                <w:color w:val="000000"/>
              </w:rPr>
            </w:pPr>
          </w:p>
        </w:tc>
      </w:tr>
      <w:tr w:rsidR="002412C5" w:rsidRPr="002412C5" w14:paraId="33DCC0B1" w14:textId="77777777" w:rsidTr="00EF169F">
        <w:trPr>
          <w:trHeight w:val="300"/>
        </w:trPr>
        <w:tc>
          <w:tcPr>
            <w:tcW w:w="4000" w:type="dxa"/>
            <w:tcBorders>
              <w:top w:val="nil"/>
              <w:left w:val="nil"/>
              <w:bottom w:val="nil"/>
              <w:right w:val="nil"/>
            </w:tcBorders>
            <w:shd w:val="clear" w:color="auto" w:fill="auto"/>
            <w:noWrap/>
            <w:vAlign w:val="bottom"/>
            <w:hideMark/>
          </w:tcPr>
          <w:p w14:paraId="1499433B" w14:textId="77777777"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Age (years)</w:t>
            </w:r>
          </w:p>
        </w:tc>
        <w:tc>
          <w:tcPr>
            <w:tcW w:w="980" w:type="dxa"/>
            <w:tcBorders>
              <w:top w:val="nil"/>
              <w:left w:val="nil"/>
              <w:bottom w:val="nil"/>
              <w:right w:val="nil"/>
            </w:tcBorders>
            <w:shd w:val="clear" w:color="auto" w:fill="auto"/>
            <w:noWrap/>
            <w:vAlign w:val="center"/>
            <w:hideMark/>
          </w:tcPr>
          <w:p w14:paraId="56B4E91A"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1.039</w:t>
            </w:r>
          </w:p>
        </w:tc>
        <w:tc>
          <w:tcPr>
            <w:tcW w:w="1540" w:type="dxa"/>
            <w:tcBorders>
              <w:top w:val="nil"/>
              <w:left w:val="nil"/>
              <w:bottom w:val="nil"/>
              <w:right w:val="nil"/>
            </w:tcBorders>
            <w:shd w:val="clear" w:color="auto" w:fill="auto"/>
            <w:noWrap/>
            <w:vAlign w:val="center"/>
            <w:hideMark/>
          </w:tcPr>
          <w:p w14:paraId="755F6CE6"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1.018 - 1.059</w:t>
            </w:r>
          </w:p>
        </w:tc>
        <w:tc>
          <w:tcPr>
            <w:tcW w:w="1428" w:type="dxa"/>
            <w:tcBorders>
              <w:top w:val="nil"/>
              <w:left w:val="nil"/>
              <w:bottom w:val="nil"/>
              <w:right w:val="nil"/>
            </w:tcBorders>
            <w:shd w:val="clear" w:color="auto" w:fill="auto"/>
            <w:noWrap/>
            <w:vAlign w:val="center"/>
            <w:hideMark/>
          </w:tcPr>
          <w:p w14:paraId="68E1A751"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&lt; 0.001</w:t>
            </w:r>
          </w:p>
        </w:tc>
      </w:tr>
      <w:tr w:rsidR="002412C5" w:rsidRPr="002412C5" w14:paraId="40A6DF75" w14:textId="77777777" w:rsidTr="00EF169F">
        <w:trPr>
          <w:trHeight w:val="300"/>
        </w:trPr>
        <w:tc>
          <w:tcPr>
            <w:tcW w:w="4000" w:type="dxa"/>
            <w:tcBorders>
              <w:top w:val="nil"/>
              <w:left w:val="nil"/>
              <w:bottom w:val="single" w:sz="4" w:space="0" w:color="auto"/>
              <w:right w:val="nil"/>
            </w:tcBorders>
            <w:shd w:val="clear" w:color="auto" w:fill="auto"/>
            <w:noWrap/>
            <w:vAlign w:val="bottom"/>
            <w:hideMark/>
          </w:tcPr>
          <w:p w14:paraId="36D92037" w14:textId="77777777"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14:paraId="42B5B69F" w14:textId="77777777"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 </w:t>
            </w:r>
          </w:p>
        </w:tc>
        <w:tc>
          <w:tcPr>
            <w:tcW w:w="1540" w:type="dxa"/>
            <w:tcBorders>
              <w:top w:val="nil"/>
              <w:left w:val="nil"/>
              <w:bottom w:val="single" w:sz="4" w:space="0" w:color="auto"/>
              <w:right w:val="nil"/>
            </w:tcBorders>
            <w:shd w:val="clear" w:color="auto" w:fill="auto"/>
            <w:noWrap/>
            <w:vAlign w:val="bottom"/>
            <w:hideMark/>
          </w:tcPr>
          <w:p w14:paraId="502BC708" w14:textId="77777777"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 </w:t>
            </w:r>
          </w:p>
        </w:tc>
        <w:tc>
          <w:tcPr>
            <w:tcW w:w="1428" w:type="dxa"/>
            <w:tcBorders>
              <w:top w:val="nil"/>
              <w:left w:val="nil"/>
              <w:bottom w:val="single" w:sz="4" w:space="0" w:color="auto"/>
              <w:right w:val="nil"/>
            </w:tcBorders>
            <w:shd w:val="clear" w:color="auto" w:fill="auto"/>
            <w:noWrap/>
            <w:vAlign w:val="bottom"/>
            <w:hideMark/>
          </w:tcPr>
          <w:p w14:paraId="3A7F4C82" w14:textId="77777777"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 </w:t>
            </w:r>
          </w:p>
        </w:tc>
      </w:tr>
      <w:tr w:rsidR="002412C5" w:rsidRPr="002412C5" w14:paraId="05A032BC" w14:textId="77777777" w:rsidTr="00EF169F">
        <w:trPr>
          <w:trHeight w:val="300"/>
        </w:trPr>
        <w:tc>
          <w:tcPr>
            <w:tcW w:w="4000" w:type="dxa"/>
            <w:tcBorders>
              <w:top w:val="nil"/>
              <w:left w:val="nil"/>
              <w:bottom w:val="nil"/>
              <w:right w:val="nil"/>
            </w:tcBorders>
            <w:shd w:val="clear" w:color="auto" w:fill="auto"/>
            <w:noWrap/>
            <w:vAlign w:val="bottom"/>
            <w:hideMark/>
          </w:tcPr>
          <w:p w14:paraId="5CD7693D" w14:textId="77777777"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Wald test = 120.69</w:t>
            </w:r>
          </w:p>
        </w:tc>
        <w:tc>
          <w:tcPr>
            <w:tcW w:w="980" w:type="dxa"/>
            <w:tcBorders>
              <w:top w:val="nil"/>
              <w:left w:val="nil"/>
              <w:bottom w:val="nil"/>
              <w:right w:val="nil"/>
            </w:tcBorders>
            <w:shd w:val="clear" w:color="auto" w:fill="auto"/>
            <w:noWrap/>
            <w:vAlign w:val="bottom"/>
            <w:hideMark/>
          </w:tcPr>
          <w:p w14:paraId="4EED2BEA" w14:textId="77777777" w:rsidR="002412C5" w:rsidRPr="002412C5" w:rsidRDefault="002412C5" w:rsidP="002412C5">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14:paraId="7BBA9947" w14:textId="77777777" w:rsidR="002412C5" w:rsidRPr="002412C5" w:rsidRDefault="002412C5" w:rsidP="002412C5">
            <w:pPr>
              <w:spacing w:after="0" w:line="240" w:lineRule="auto"/>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14:paraId="409740DD" w14:textId="77777777"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p &lt; 0.0001</w:t>
            </w:r>
          </w:p>
        </w:tc>
      </w:tr>
    </w:tbl>
    <w:p w14:paraId="6DC6FE9B" w14:textId="77777777" w:rsidR="002412C5" w:rsidRDefault="002412C5" w:rsidP="000A717E"/>
    <w:p w14:paraId="062275E0" w14:textId="77777777" w:rsidR="00F91580" w:rsidRDefault="00EF169F" w:rsidP="000A717E">
      <w:r>
        <w:t xml:space="preserve">8. </w:t>
      </w:r>
      <w:commentRangeStart w:id="12"/>
      <w:r w:rsidR="00894EBB" w:rsidRPr="00F91580">
        <w:t>Ignoring</w:t>
      </w:r>
      <w:commentRangeEnd w:id="12"/>
      <w:r w:rsidR="00460EED">
        <w:rPr>
          <w:rStyle w:val="CommentReference"/>
        </w:rPr>
        <w:commentReference w:id="12"/>
      </w:r>
      <w:r w:rsidR="00894EBB" w:rsidRPr="00F91580">
        <w:t xml:space="preserve"> the treatment arm depends upon the fact of the D-penicilamine whether effectively reduce mortality or not. </w:t>
      </w:r>
      <w:r w:rsidR="00DA27A1" w:rsidRPr="00F91580">
        <w:t xml:space="preserve">Without effect we could ignore it. But if there is some effect of D-penicilamine we </w:t>
      </w:r>
      <w:r w:rsidR="00F91580">
        <w:t xml:space="preserve">would miss a precision variable for the association between enrollment bilirubin levels and mortality from all causes. </w:t>
      </w:r>
    </w:p>
    <w:p w14:paraId="7310C5B3" w14:textId="77777777" w:rsidR="00A919EF" w:rsidRDefault="00894EBB" w:rsidP="000A717E">
      <w:pPr>
        <w:rPr>
          <w:highlight w:val="yellow"/>
        </w:rPr>
      </w:pPr>
      <w:r w:rsidRPr="00F91580">
        <w:t>It is for note that in</w:t>
      </w:r>
      <w:r w:rsidR="00F91580">
        <w:t xml:space="preserve">cluding the treatment variable we </w:t>
      </w:r>
      <w:r w:rsidRPr="00F91580">
        <w:t xml:space="preserve">would </w:t>
      </w:r>
      <w:r w:rsidR="00F91580">
        <w:t xml:space="preserve">have to reduce our </w:t>
      </w:r>
      <w:r w:rsidRPr="00F91580">
        <w:t xml:space="preserve">sample </w:t>
      </w:r>
      <w:r w:rsidR="00F91580">
        <w:t>¼ of records.</w:t>
      </w:r>
    </w:p>
    <w:p w14:paraId="657D4E20" w14:textId="77777777" w:rsidR="00A919EF" w:rsidRDefault="00A919EF">
      <w:pPr>
        <w:rPr>
          <w:highlight w:val="yellow"/>
        </w:rPr>
      </w:pPr>
      <w:r>
        <w:rPr>
          <w:highlight w:val="yellow"/>
        </w:rPr>
        <w:br w:type="page"/>
      </w:r>
    </w:p>
    <w:p w14:paraId="132B0342" w14:textId="77777777" w:rsidR="00894EBB" w:rsidRDefault="00A919EF" w:rsidP="000A717E">
      <w:r>
        <w:lastRenderedPageBreak/>
        <w:t>Appendix</w:t>
      </w:r>
    </w:p>
    <w:p w14:paraId="7428C873" w14:textId="77777777" w:rsidR="00A919EF" w:rsidRDefault="00A919EF" w:rsidP="000A717E">
      <w:r>
        <w:t>Stata code</w:t>
      </w:r>
    </w:p>
    <w:p w14:paraId="5B9EDCEF"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clear</w:t>
      </w:r>
    </w:p>
    <w:p w14:paraId="788EB215"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set more off</w:t>
      </w:r>
    </w:p>
    <w:p w14:paraId="1552DA19"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w:t>
      </w:r>
    </w:p>
    <w:p w14:paraId="2685BE5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infile age albumin alkphos ascites bili cholest edema edmadj hepmeg ///</w:t>
      </w:r>
    </w:p>
    <w:p w14:paraId="73E3A721"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obstime platelet protime sex                                     ///</w:t>
      </w:r>
    </w:p>
    <w:p w14:paraId="7F8F9E89"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sgot spiders stage status treatmnt triglyc urinecu               ///</w:t>
      </w:r>
    </w:p>
    <w:p w14:paraId="43C1F038"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using liver.txt </w:t>
      </w:r>
    </w:p>
    <w:p w14:paraId="02297754"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drop in 1</w:t>
      </w:r>
    </w:p>
    <w:p w14:paraId="0BD382F9"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w:t>
      </w:r>
    </w:p>
    <w:p w14:paraId="4C54397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lab var bili "Serum bilirubin (mg/dl)"</w:t>
      </w:r>
    </w:p>
    <w:p w14:paraId="562C6A4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lab define sex 1 F 0 M</w:t>
      </w:r>
    </w:p>
    <w:p w14:paraId="00F4EB6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lab value sex sex</w:t>
      </w:r>
    </w:p>
    <w:p w14:paraId="4EF67859" w14:textId="77777777" w:rsidR="006C2D61" w:rsidRPr="006C2D61" w:rsidRDefault="006C2D61" w:rsidP="006C2D61">
      <w:pPr>
        <w:spacing w:after="0"/>
        <w:rPr>
          <w:rFonts w:ascii="Courier New" w:hAnsi="Courier New" w:cs="Courier New"/>
          <w:sz w:val="18"/>
          <w:szCs w:val="18"/>
        </w:rPr>
      </w:pPr>
    </w:p>
    <w:p w14:paraId="6073CA32"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lab define tto 1 Drug 2 Placebo</w:t>
      </w:r>
    </w:p>
    <w:p w14:paraId="5520B9A1"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lab value treatmnt tto</w:t>
      </w:r>
    </w:p>
    <w:p w14:paraId="637E2AAE" w14:textId="77777777" w:rsidR="006C2D61" w:rsidRPr="006C2D61" w:rsidRDefault="006C2D61" w:rsidP="006C2D61">
      <w:pPr>
        <w:spacing w:after="0"/>
        <w:rPr>
          <w:rFonts w:ascii="Courier New" w:hAnsi="Courier New" w:cs="Courier New"/>
          <w:sz w:val="18"/>
          <w:szCs w:val="18"/>
        </w:rPr>
      </w:pPr>
    </w:p>
    <w:p w14:paraId="7A384334"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1</w:t>
      </w:r>
    </w:p>
    <w:p w14:paraId="5B77149B"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death, age, sex, serum bilirubin, D-penicillamine treatment (treatmnt)</w:t>
      </w:r>
    </w:p>
    <w:p w14:paraId="025E5BC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misstable pattern age sex treatmnt bili obstime </w:t>
      </w:r>
    </w:p>
    <w:p w14:paraId="78F27544"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misstable pattern age sex bili obstime </w:t>
      </w:r>
    </w:p>
    <w:p w14:paraId="0889AB78" w14:textId="77777777" w:rsidR="006C2D61" w:rsidRPr="006C2D61" w:rsidRDefault="006C2D61" w:rsidP="006C2D61">
      <w:pPr>
        <w:spacing w:after="0"/>
        <w:rPr>
          <w:rFonts w:ascii="Courier New" w:hAnsi="Courier New" w:cs="Courier New"/>
          <w:sz w:val="18"/>
          <w:szCs w:val="18"/>
        </w:rPr>
      </w:pPr>
    </w:p>
    <w:p w14:paraId="2483C515"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stset obstime, failure(status) scale(30.4375)</w:t>
      </w:r>
    </w:p>
    <w:p w14:paraId="6E2C69BA"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stset obstime, failure(status) scale(365.25)</w:t>
      </w:r>
    </w:p>
    <w:p w14:paraId="38E10021" w14:textId="77777777" w:rsidR="006C2D61" w:rsidRPr="006C2D61" w:rsidRDefault="006C2D61" w:rsidP="006C2D61">
      <w:pPr>
        <w:spacing w:after="0"/>
        <w:rPr>
          <w:rFonts w:ascii="Courier New" w:hAnsi="Courier New" w:cs="Courier New"/>
          <w:sz w:val="18"/>
          <w:szCs w:val="18"/>
        </w:rPr>
      </w:pPr>
    </w:p>
    <w:p w14:paraId="2ACEB9B2"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egen bilicat = cut(bili), at(0 1 2 4 8 16 32) icodes label</w:t>
      </w:r>
    </w:p>
    <w:p w14:paraId="57B6B4FC" w14:textId="77777777" w:rsidR="006C2D61" w:rsidRPr="006C2D61" w:rsidRDefault="006C2D61" w:rsidP="006C2D61">
      <w:pPr>
        <w:spacing w:after="0"/>
        <w:rPr>
          <w:rFonts w:ascii="Courier New" w:hAnsi="Courier New" w:cs="Courier New"/>
          <w:sz w:val="18"/>
          <w:szCs w:val="18"/>
        </w:rPr>
      </w:pPr>
    </w:p>
    <w:p w14:paraId="174A00CA"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ctabstat age, stat(mean sd min max n) by(bilicat) ///</w:t>
      </w:r>
    </w:p>
    <w:p w14:paraId="0D0D05AD"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col(stat) long format(%5.3f)</w:t>
      </w:r>
    </w:p>
    <w:p w14:paraId="479F6B7B" w14:textId="77777777" w:rsidR="006C2D61" w:rsidRPr="006C2D61" w:rsidRDefault="006C2D61" w:rsidP="006C2D61">
      <w:pPr>
        <w:spacing w:after="0"/>
        <w:rPr>
          <w:rFonts w:ascii="Courier New" w:hAnsi="Courier New" w:cs="Courier New"/>
          <w:sz w:val="18"/>
          <w:szCs w:val="18"/>
        </w:rPr>
      </w:pPr>
    </w:p>
    <w:p w14:paraId="49EB18E9"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tab sex bilicat, miss col</w:t>
      </w:r>
    </w:p>
    <w:p w14:paraId="5B278A92"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tab status bilicat, miss col</w:t>
      </w:r>
    </w:p>
    <w:p w14:paraId="16FBDA69"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tab treatmnt bilicat, miss col</w:t>
      </w:r>
    </w:p>
    <w:p w14:paraId="56F699AD" w14:textId="77777777" w:rsidR="006C2D61" w:rsidRPr="006C2D61" w:rsidRDefault="006C2D61" w:rsidP="006C2D61">
      <w:pPr>
        <w:spacing w:after="0"/>
        <w:rPr>
          <w:rFonts w:ascii="Courier New" w:hAnsi="Courier New" w:cs="Courier New"/>
          <w:sz w:val="18"/>
          <w:szCs w:val="18"/>
        </w:rPr>
      </w:pPr>
    </w:p>
    <w:p w14:paraId="4D727024"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sum bili</w:t>
      </w:r>
    </w:p>
    <w:p w14:paraId="3A44FD4E" w14:textId="77777777" w:rsidR="006C2D61" w:rsidRPr="006C2D61" w:rsidRDefault="006C2D61" w:rsidP="006C2D61">
      <w:pPr>
        <w:spacing w:after="0"/>
        <w:rPr>
          <w:rFonts w:ascii="Courier New" w:hAnsi="Courier New" w:cs="Courier New"/>
          <w:sz w:val="18"/>
          <w:szCs w:val="18"/>
        </w:rPr>
      </w:pPr>
    </w:p>
    <w:p w14:paraId="03B66637"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sts list, at(2 5 10) by(bilicat)</w:t>
      </w:r>
    </w:p>
    <w:p w14:paraId="077C0D6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sts list, at(2 5 10)</w:t>
      </w:r>
    </w:p>
    <w:p w14:paraId="3D1AA51F" w14:textId="77777777" w:rsidR="006C2D61" w:rsidRPr="006C2D61" w:rsidRDefault="006C2D61" w:rsidP="006C2D61">
      <w:pPr>
        <w:spacing w:after="0"/>
        <w:rPr>
          <w:rFonts w:ascii="Courier New" w:hAnsi="Courier New" w:cs="Courier New"/>
          <w:sz w:val="18"/>
          <w:szCs w:val="18"/>
        </w:rPr>
      </w:pPr>
    </w:p>
    <w:p w14:paraId="423D7067"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stci , p(10) by(bilicat)</w:t>
      </w:r>
    </w:p>
    <w:p w14:paraId="4A0DE699"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stci , p(20) by(bilicat)</w:t>
      </w:r>
    </w:p>
    <w:p w14:paraId="12546ADB"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stci , p(50) by(bilicat)</w:t>
      </w:r>
    </w:p>
    <w:p w14:paraId="4B93FCEB" w14:textId="77777777" w:rsidR="006C2D61" w:rsidRPr="006C2D61" w:rsidRDefault="006C2D61" w:rsidP="006C2D61">
      <w:pPr>
        <w:spacing w:after="0"/>
        <w:rPr>
          <w:rFonts w:ascii="Courier New" w:hAnsi="Courier New" w:cs="Courier New"/>
          <w:sz w:val="18"/>
          <w:szCs w:val="18"/>
        </w:rPr>
      </w:pPr>
    </w:p>
    <w:p w14:paraId="075AA767"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Gender</w:t>
      </w:r>
    </w:p>
    <w:p w14:paraId="3BD4E0B4"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recode sex (1 = 1) (2 = 2) (miss = 3), gen(gender)</w:t>
      </w:r>
    </w:p>
    <w:p w14:paraId="70BD1B6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lab define sex 3 "Miss gender", add</w:t>
      </w:r>
    </w:p>
    <w:p w14:paraId="21D1193C"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lab value gender sex</w:t>
      </w:r>
    </w:p>
    <w:p w14:paraId="6DC1CBF7"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sts graph, by(gender)  ///</w:t>
      </w:r>
    </w:p>
    <w:p w14:paraId="3EBAB34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 risktable(, order(1 "Male" 2 "Female" 3 "Miss gender") righttitles) ///</w:t>
      </w:r>
    </w:p>
    <w:p w14:paraId="1B7C57AD"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xtitle(Time after enrolment (years))     ///</w:t>
      </w:r>
    </w:p>
    <w:p w14:paraId="0C3C5A1F"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ytitle(Survival probability) ylabel(0(0.1)1, angle(horizontal) format(%2.1f)) ///</w:t>
      </w:r>
    </w:p>
    <w:p w14:paraId="025A1BAD"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xlabel(0 (1) 13) ///</w:t>
      </w:r>
    </w:p>
    <w:p w14:paraId="55E4691A"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legend(order(1 "Male" 2 "Female" 3 "Miss gender") rows(1))</w:t>
      </w:r>
    </w:p>
    <w:p w14:paraId="36A0FF9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graph export q1_gender.tif, replace</w:t>
      </w:r>
    </w:p>
    <w:p w14:paraId="5978FE1E" w14:textId="77777777" w:rsidR="006C2D61" w:rsidRPr="006C2D61" w:rsidRDefault="006C2D61" w:rsidP="006C2D61">
      <w:pPr>
        <w:spacing w:after="0"/>
        <w:rPr>
          <w:rFonts w:ascii="Courier New" w:hAnsi="Courier New" w:cs="Courier New"/>
          <w:sz w:val="18"/>
          <w:szCs w:val="18"/>
        </w:rPr>
      </w:pPr>
    </w:p>
    <w:p w14:paraId="11B9B7B1"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egen agecat = cut(age), at(10 (10) 80) icodes label</w:t>
      </w:r>
    </w:p>
    <w:p w14:paraId="1CC8BF45" w14:textId="77777777" w:rsidR="006C2D61" w:rsidRPr="006C2D61" w:rsidRDefault="006C2D61" w:rsidP="006C2D61">
      <w:pPr>
        <w:spacing w:after="0"/>
        <w:rPr>
          <w:rFonts w:ascii="Courier New" w:hAnsi="Courier New" w:cs="Courier New"/>
          <w:sz w:val="18"/>
          <w:szCs w:val="18"/>
        </w:rPr>
      </w:pPr>
    </w:p>
    <w:p w14:paraId="5C5E75DC"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sts graph, by(agecat)  ///</w:t>
      </w:r>
    </w:p>
    <w:p w14:paraId="2EDC50D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lastRenderedPageBreak/>
        <w:t xml:space="preserve">    /// risktable(, order(1 "Male" 2 "Female" 3 "Miss gender") righttitles) ///</w:t>
      </w:r>
    </w:p>
    <w:p w14:paraId="551517E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xtitle(Time after enrolment (years))     ///</w:t>
      </w:r>
    </w:p>
    <w:p w14:paraId="2541BDD3"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ytitle(Survival probability) ylabel(0(0.1)1, angle(horizontal) format(%2.1f)) ///</w:t>
      </w:r>
    </w:p>
    <w:p w14:paraId="661C0C23"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xlabel(0 (1) 13) ///</w:t>
      </w:r>
    </w:p>
    <w:p w14:paraId="5D0A754D"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legend(order(1 "[20 - 30[" 2 "[30 - 40[" 3 "[40 - 50[" ///</w:t>
      </w:r>
    </w:p>
    <w:p w14:paraId="7542FBF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4 "[50 - 60[" 5 "[60 - 70[" 6 "[70 - 80["))</w:t>
      </w:r>
    </w:p>
    <w:p w14:paraId="25C9094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graph export q1_agecat.tif, replace</w:t>
      </w:r>
    </w:p>
    <w:p w14:paraId="2C75947A" w14:textId="77777777" w:rsidR="006C2D61" w:rsidRPr="006C2D61" w:rsidRDefault="006C2D61" w:rsidP="006C2D61">
      <w:pPr>
        <w:spacing w:after="0"/>
        <w:rPr>
          <w:rFonts w:ascii="Courier New" w:hAnsi="Courier New" w:cs="Courier New"/>
          <w:sz w:val="18"/>
          <w:szCs w:val="18"/>
        </w:rPr>
      </w:pPr>
    </w:p>
    <w:p w14:paraId="35CDE23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3 - a</w:t>
      </w:r>
    </w:p>
    <w:p w14:paraId="366B2B6C"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stset obstime, failure(status) scale(365.25)</w:t>
      </w:r>
    </w:p>
    <w:p w14:paraId="486D9BDC"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stcox bili, robust</w:t>
      </w:r>
    </w:p>
    <w:p w14:paraId="300127A8"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lincom 10*bili, eform   // This is equivalent to bill_beta power 10</w:t>
      </w:r>
    </w:p>
    <w:p w14:paraId="375B1E9D" w14:textId="77777777" w:rsidR="006C2D61" w:rsidRPr="006C2D61" w:rsidRDefault="006C2D61" w:rsidP="006C2D61">
      <w:pPr>
        <w:spacing w:after="0"/>
        <w:rPr>
          <w:rFonts w:ascii="Courier New" w:hAnsi="Courier New" w:cs="Courier New"/>
          <w:sz w:val="18"/>
          <w:szCs w:val="18"/>
        </w:rPr>
      </w:pPr>
    </w:p>
    <w:p w14:paraId="3DB24AEC"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3 - b</w:t>
      </w:r>
    </w:p>
    <w:p w14:paraId="7BF10A0F"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gen cbili = bili - 1</w:t>
      </w:r>
    </w:p>
    <w:p w14:paraId="691BE8D8"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stcox cbili, robust</w:t>
      </w:r>
    </w:p>
    <w:p w14:paraId="6EC088FF"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predict fithrA</w:t>
      </w:r>
    </w:p>
    <w:p w14:paraId="6B54995E" w14:textId="77777777" w:rsidR="006C2D61" w:rsidRPr="006C2D61" w:rsidRDefault="006C2D61" w:rsidP="006C2D61">
      <w:pPr>
        <w:spacing w:after="0"/>
        <w:rPr>
          <w:rFonts w:ascii="Courier New" w:hAnsi="Courier New" w:cs="Courier New"/>
          <w:sz w:val="18"/>
          <w:szCs w:val="18"/>
        </w:rPr>
      </w:pPr>
    </w:p>
    <w:p w14:paraId="278C995F"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Question 4 - b </w:t>
      </w:r>
    </w:p>
    <w:p w14:paraId="57E48C7B"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stset obstime, failure(status) scale(365.25)</w:t>
      </w:r>
    </w:p>
    <w:p w14:paraId="75EE22A5"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gen log2bili = log(bili)/log(2)</w:t>
      </w:r>
    </w:p>
    <w:p w14:paraId="4BB41D9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gen logbili = log(bili)</w:t>
      </w:r>
    </w:p>
    <w:p w14:paraId="57DFD0E4"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stcox log2bili, robust</w:t>
      </w:r>
    </w:p>
    <w:p w14:paraId="405DAD05"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predict fithrB</w:t>
      </w:r>
    </w:p>
    <w:p w14:paraId="64C36BC3" w14:textId="77777777" w:rsidR="006C2D61" w:rsidRPr="006C2D61" w:rsidRDefault="006C2D61" w:rsidP="006C2D61">
      <w:pPr>
        <w:spacing w:after="0"/>
        <w:rPr>
          <w:rFonts w:ascii="Courier New" w:hAnsi="Courier New" w:cs="Courier New"/>
          <w:sz w:val="18"/>
          <w:szCs w:val="18"/>
        </w:rPr>
      </w:pPr>
    </w:p>
    <w:p w14:paraId="3809F49A"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OR</w:t>
      </w:r>
    </w:p>
    <w:p w14:paraId="70F98CD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b1*log(bili) = b1*log(2)*logbase2(bili)</w:t>
      </w:r>
    </w:p>
    <w:p w14:paraId="309CE63A"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di log(2)</w:t>
      </w:r>
    </w:p>
    <w:p w14:paraId="0E391BE9"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stcox logbili, robust</w:t>
      </w:r>
    </w:p>
    <w:p w14:paraId="3FF06F25"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lincom .69314718*logbili, eform</w:t>
      </w:r>
    </w:p>
    <w:p w14:paraId="05E4AC72"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w:t>
      </w:r>
    </w:p>
    <w:p w14:paraId="30B84843" w14:textId="77777777" w:rsidR="006C2D61" w:rsidRPr="006C2D61" w:rsidRDefault="006C2D61" w:rsidP="006C2D61">
      <w:pPr>
        <w:spacing w:after="0"/>
        <w:rPr>
          <w:rFonts w:ascii="Courier New" w:hAnsi="Courier New" w:cs="Courier New"/>
          <w:sz w:val="18"/>
          <w:szCs w:val="18"/>
        </w:rPr>
      </w:pPr>
    </w:p>
    <w:p w14:paraId="28B90AAF"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5</w:t>
      </w:r>
    </w:p>
    <w:p w14:paraId="5DDB94F8"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gen bilisq = bili^2</w:t>
      </w:r>
    </w:p>
    <w:p w14:paraId="4BEECD2D"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gen logbili = log(bili)</w:t>
      </w:r>
    </w:p>
    <w:p w14:paraId="23422472" w14:textId="77777777" w:rsidR="006C2D61" w:rsidRPr="006C2D61" w:rsidRDefault="006C2D61" w:rsidP="006C2D61">
      <w:pPr>
        <w:spacing w:after="0"/>
        <w:rPr>
          <w:rFonts w:ascii="Courier New" w:hAnsi="Courier New" w:cs="Courier New"/>
          <w:sz w:val="18"/>
          <w:szCs w:val="18"/>
        </w:rPr>
      </w:pPr>
    </w:p>
    <w:p w14:paraId="3B7CEEE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stcox bili, robust nolog</w:t>
      </w:r>
    </w:p>
    <w:p w14:paraId="42E4C97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stcox bili log2bili, robust nolog</w:t>
      </w:r>
    </w:p>
    <w:p w14:paraId="5E1195A6" w14:textId="77777777" w:rsidR="006C2D61" w:rsidRPr="006C2D61" w:rsidRDefault="006C2D61" w:rsidP="006C2D61">
      <w:pPr>
        <w:spacing w:after="0"/>
        <w:rPr>
          <w:rFonts w:ascii="Courier New" w:hAnsi="Courier New" w:cs="Courier New"/>
          <w:sz w:val="18"/>
          <w:szCs w:val="18"/>
        </w:rPr>
      </w:pPr>
    </w:p>
    <w:p w14:paraId="63A6DCB7"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testparm log2bili</w:t>
      </w:r>
    </w:p>
    <w:p w14:paraId="136E4967"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predict fithrC</w:t>
      </w:r>
    </w:p>
    <w:p w14:paraId="09029DA2" w14:textId="77777777" w:rsidR="006C2D61" w:rsidRPr="006C2D61" w:rsidRDefault="006C2D61" w:rsidP="006C2D61">
      <w:pPr>
        <w:spacing w:after="0"/>
        <w:rPr>
          <w:rFonts w:ascii="Courier New" w:hAnsi="Courier New" w:cs="Courier New"/>
          <w:sz w:val="18"/>
          <w:szCs w:val="18"/>
        </w:rPr>
      </w:pPr>
    </w:p>
    <w:p w14:paraId="4465FF95" w14:textId="77777777" w:rsidR="006C2D61" w:rsidRPr="006C2D61" w:rsidRDefault="006C2D61" w:rsidP="006C2D61">
      <w:pPr>
        <w:spacing w:after="0"/>
        <w:rPr>
          <w:rFonts w:ascii="Courier New" w:hAnsi="Courier New" w:cs="Courier New"/>
          <w:sz w:val="18"/>
          <w:szCs w:val="18"/>
        </w:rPr>
      </w:pPr>
    </w:p>
    <w:p w14:paraId="180AC5A8"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6</w:t>
      </w:r>
    </w:p>
    <w:p w14:paraId="704D7F4B"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stcox bili c.bili#c.bili, robust nolog</w:t>
      </w:r>
    </w:p>
    <w:p w14:paraId="6819421A"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predict fithrD</w:t>
      </w:r>
    </w:p>
    <w:p w14:paraId="2C09C1FA" w14:textId="77777777" w:rsidR="006C2D61" w:rsidRPr="006C2D61" w:rsidRDefault="006C2D61" w:rsidP="006C2D61">
      <w:pPr>
        <w:spacing w:after="0"/>
        <w:rPr>
          <w:rFonts w:ascii="Courier New" w:hAnsi="Courier New" w:cs="Courier New"/>
          <w:sz w:val="18"/>
          <w:szCs w:val="18"/>
        </w:rPr>
      </w:pPr>
    </w:p>
    <w:p w14:paraId="0D636831"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scatter fithrA fithrB fithrC fithrD bili, ///</w:t>
      </w:r>
    </w:p>
    <w:p w14:paraId="39A0E782"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xtitle(Serum bilirubin levels (mg/dl))     ///</w:t>
      </w:r>
    </w:p>
    <w:p w14:paraId="6CDE398B"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ytitle(Relative Hazard) ///</w:t>
      </w:r>
    </w:p>
    <w:p w14:paraId="2452891A"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ylabel(0(5)50, angle(horizontal) format(%2.0f)) ///</w:t>
      </w:r>
    </w:p>
    <w:p w14:paraId="0D626AD0"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yline(0(5)50, lcolor(ltblue)) ///</w:t>
      </w:r>
    </w:p>
    <w:p w14:paraId="13A8622A"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xlabel(0 (5)30) ///</w:t>
      </w:r>
    </w:p>
    <w:p w14:paraId="3DCAAC5D"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xline(0(5)50, lcolor(ltblue)) ///</w:t>
      </w:r>
    </w:p>
    <w:p w14:paraId="2343541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legend(order(1 "Untransformed bilirubin" ///</w:t>
      </w:r>
    </w:p>
    <w:p w14:paraId="68FDA3D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2 "Logarithm transformed bilirubin" ///</w:t>
      </w:r>
    </w:p>
    <w:p w14:paraId="65832C65"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ab/>
      </w:r>
      <w:r w:rsidRPr="006C2D61">
        <w:rPr>
          <w:rFonts w:ascii="Courier New" w:hAnsi="Courier New" w:cs="Courier New"/>
          <w:sz w:val="18"/>
          <w:szCs w:val="18"/>
        </w:rPr>
        <w:tab/>
        <w:t xml:space="preserve"> 3 "Both Untransformed and Logarithm transformed bilirubin" ///</w:t>
      </w:r>
    </w:p>
    <w:p w14:paraId="744B0EDB"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ab/>
      </w:r>
      <w:r w:rsidRPr="006C2D61">
        <w:rPr>
          <w:rFonts w:ascii="Courier New" w:hAnsi="Courier New" w:cs="Courier New"/>
          <w:sz w:val="18"/>
          <w:szCs w:val="18"/>
        </w:rPr>
        <w:tab/>
        <w:t xml:space="preserve"> 4 "Both Untransformed and squared transformed bilirubin") cols(1))</w:t>
      </w:r>
    </w:p>
    <w:p w14:paraId="7E85E489" w14:textId="77777777" w:rsidR="006C2D61" w:rsidRPr="006C2D61" w:rsidRDefault="006C2D61" w:rsidP="006C2D61">
      <w:pPr>
        <w:spacing w:after="0"/>
        <w:rPr>
          <w:rFonts w:ascii="Courier New" w:hAnsi="Courier New" w:cs="Courier New"/>
          <w:sz w:val="18"/>
          <w:szCs w:val="18"/>
        </w:rPr>
      </w:pPr>
    </w:p>
    <w:p w14:paraId="719D5B12" w14:textId="77777777" w:rsidR="006C2D61" w:rsidRPr="006C2D61" w:rsidRDefault="006C2D61" w:rsidP="006C2D61">
      <w:pPr>
        <w:spacing w:after="0"/>
        <w:rPr>
          <w:rFonts w:ascii="Courier New" w:hAnsi="Courier New" w:cs="Courier New"/>
          <w:sz w:val="18"/>
          <w:szCs w:val="18"/>
        </w:rPr>
      </w:pPr>
    </w:p>
    <w:p w14:paraId="3CBBB2C2"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scatter fithrA fithrB fithrC bili, ///</w:t>
      </w:r>
    </w:p>
    <w:p w14:paraId="07C581A4"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lastRenderedPageBreak/>
        <w:t xml:space="preserve">    xtitle(Serum bilirubin levels (mg/dl))     ///</w:t>
      </w:r>
    </w:p>
    <w:p w14:paraId="3F0B16CB"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ytitle(Relative Hazard) ///</w:t>
      </w:r>
    </w:p>
    <w:p w14:paraId="277635A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ylabel(0(5)50, angle(horizontal) format(%2.0f)) ///</w:t>
      </w:r>
    </w:p>
    <w:p w14:paraId="7CF4FB37"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yline(0(5)50, lcolor(ltblue)) ///</w:t>
      </w:r>
    </w:p>
    <w:p w14:paraId="5D566BFC"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xlabel(0 (5)30) ///</w:t>
      </w:r>
    </w:p>
    <w:p w14:paraId="577977E4"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xline(0(5)50, lcolor(ltblue)) ///</w:t>
      </w:r>
    </w:p>
    <w:p w14:paraId="69F93B65"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legend(order(1 "Untransformed bilirubin" ///</w:t>
      </w:r>
    </w:p>
    <w:p w14:paraId="19687C2B"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2 "Logarithm transformed bilirubin" ///</w:t>
      </w:r>
    </w:p>
    <w:p w14:paraId="5870355E"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ab/>
      </w:r>
      <w:r w:rsidRPr="006C2D61">
        <w:rPr>
          <w:rFonts w:ascii="Courier New" w:hAnsi="Courier New" w:cs="Courier New"/>
          <w:sz w:val="18"/>
          <w:szCs w:val="18"/>
        </w:rPr>
        <w:tab/>
        <w:t xml:space="preserve"> 3 "Both Untransformed and Logarithm transformed bilirubin") cols(1))</w:t>
      </w:r>
    </w:p>
    <w:p w14:paraId="63BC3661"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graph export q6.tif, replace</w:t>
      </w:r>
    </w:p>
    <w:p w14:paraId="467F2245" w14:textId="77777777" w:rsidR="006C2D61" w:rsidRPr="006C2D61" w:rsidRDefault="006C2D61" w:rsidP="006C2D61">
      <w:pPr>
        <w:spacing w:after="0"/>
        <w:rPr>
          <w:rFonts w:ascii="Courier New" w:hAnsi="Courier New" w:cs="Courier New"/>
          <w:sz w:val="18"/>
          <w:szCs w:val="18"/>
        </w:rPr>
      </w:pPr>
    </w:p>
    <w:p w14:paraId="165294A6"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7</w:t>
      </w:r>
    </w:p>
    <w:p w14:paraId="791D6723" w14:textId="77777777"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stcox log2bili i.gender age, robust nolog</w:t>
      </w:r>
    </w:p>
    <w:p w14:paraId="780AAAD0" w14:textId="77777777" w:rsidR="00A919EF"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stcox log2bili i.sex age, robust nolog</w:t>
      </w:r>
    </w:p>
    <w:p w14:paraId="4C47EC91" w14:textId="77777777" w:rsidR="00A919EF" w:rsidRDefault="00A919EF" w:rsidP="000A717E"/>
    <w:sectPr w:rsidR="00A919EF" w:rsidSect="003B0B70">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date="2015-02-22T12:08:00Z" w:initials="xxx">
    <w:p w14:paraId="264E9EC9" w14:textId="3D2FCC70" w:rsidR="00C2622A" w:rsidRDefault="00C2622A">
      <w:pPr>
        <w:pStyle w:val="CommentText"/>
      </w:pPr>
      <w:r>
        <w:rPr>
          <w:rStyle w:val="CommentReference"/>
        </w:rPr>
        <w:annotationRef/>
      </w:r>
      <w:r w:rsidR="00214EDD">
        <w:t xml:space="preserve">Total: </w:t>
      </w:r>
      <w:bookmarkStart w:id="1" w:name="_GoBack"/>
      <w:bookmarkEnd w:id="1"/>
      <w:r w:rsidR="00460D09">
        <w:t>84/105</w:t>
      </w:r>
    </w:p>
  </w:comment>
  <w:comment w:id="2" w:author="Author" w:date="2015-02-22T11:39:00Z" w:initials="xxx">
    <w:p w14:paraId="5F08F024" w14:textId="77777777" w:rsidR="00A865B4" w:rsidRDefault="00A865B4" w:rsidP="00A865B4">
      <w:pPr>
        <w:pStyle w:val="CommentText"/>
      </w:pPr>
      <w:r>
        <w:rPr>
          <w:rStyle w:val="CommentReference"/>
        </w:rPr>
        <w:annotationRef/>
      </w:r>
      <w:r>
        <w:t>7/10</w:t>
      </w:r>
    </w:p>
    <w:p w14:paraId="2BAC6732" w14:textId="70079EB5" w:rsidR="00A865B4" w:rsidRPr="00A865B4" w:rsidRDefault="00A865B4">
      <w:pPr>
        <w:pStyle w:val="CommentText"/>
        <w:rPr>
          <w:rFonts w:asciiTheme="minorEastAsia" w:eastAsiaTheme="minorEastAsia" w:hAnsiTheme="minorEastAsia"/>
          <w:lang w:eastAsia="zh-CN"/>
        </w:rPr>
      </w:pPr>
      <w:r>
        <w:t xml:space="preserve">Did not exclude subjects with missing values in sex, thus the proportions of sex in table are wrong. </w:t>
      </w:r>
    </w:p>
  </w:comment>
  <w:comment w:id="3" w:author="Author" w:date="2015-02-22T11:40:00Z" w:initials="xxx">
    <w:p w14:paraId="00D2ABA6" w14:textId="77777777" w:rsidR="00A865B4" w:rsidRDefault="00A865B4" w:rsidP="00A865B4">
      <w:pPr>
        <w:pStyle w:val="CommentText"/>
      </w:pPr>
      <w:r>
        <w:rPr>
          <w:rStyle w:val="CommentReference"/>
        </w:rPr>
        <w:annotationRef/>
      </w:r>
      <w:r>
        <w:t>8/10</w:t>
      </w:r>
    </w:p>
    <w:p w14:paraId="4C3572D6" w14:textId="4B031A18" w:rsidR="00A865B4" w:rsidRDefault="00A865B4">
      <w:pPr>
        <w:pStyle w:val="CommentText"/>
      </w:pPr>
      <w:r>
        <w:t>Should also mention issues about confounder, precision variables and effect modifier as the Key shows.</w:t>
      </w:r>
    </w:p>
  </w:comment>
  <w:comment w:id="4" w:author="Author" w:date="2015-02-22T11:44:00Z" w:initials="xxx">
    <w:p w14:paraId="33BED4CE" w14:textId="77777777" w:rsidR="00A865B4" w:rsidRDefault="00A865B4">
      <w:pPr>
        <w:pStyle w:val="CommentText"/>
      </w:pPr>
      <w:r>
        <w:rPr>
          <w:rStyle w:val="CommentReference"/>
        </w:rPr>
        <w:annotationRef/>
      </w:r>
      <w:r>
        <w:t>8/10</w:t>
      </w:r>
    </w:p>
    <w:p w14:paraId="5E54179E" w14:textId="6851E079" w:rsidR="00A865B4" w:rsidRDefault="00A865B4">
      <w:pPr>
        <w:pStyle w:val="CommentText"/>
      </w:pPr>
      <w:r>
        <w:t>If robust se used, shouldn’t these be 1.127 and 1.179 as the key shows?</w:t>
      </w:r>
    </w:p>
  </w:comment>
  <w:comment w:id="5" w:author="Author" w:date="2015-02-22T11:46:00Z" w:initials="xxx">
    <w:p w14:paraId="281D7E57" w14:textId="0FA7EBA5" w:rsidR="00A865B4" w:rsidRDefault="00A865B4">
      <w:pPr>
        <w:pStyle w:val="CommentText"/>
      </w:pPr>
      <w:r>
        <w:rPr>
          <w:rStyle w:val="CommentReference"/>
        </w:rPr>
        <w:annotationRef/>
      </w:r>
      <w:r>
        <w:t>5/5</w:t>
      </w:r>
    </w:p>
  </w:comment>
  <w:comment w:id="6" w:author="Author" w:date="2015-02-22T11:46:00Z" w:initials="xxx">
    <w:p w14:paraId="3807D410" w14:textId="20C23CBC" w:rsidR="00A865B4" w:rsidRDefault="00A865B4">
      <w:pPr>
        <w:pStyle w:val="CommentText"/>
      </w:pPr>
      <w:r>
        <w:rPr>
          <w:rStyle w:val="CommentReference"/>
        </w:rPr>
        <w:annotationRef/>
      </w:r>
      <w:r>
        <w:t>10/10</w:t>
      </w:r>
    </w:p>
  </w:comment>
  <w:comment w:id="7" w:author="Author" w:date="2015-02-22T11:48:00Z" w:initials="xxx">
    <w:p w14:paraId="56A0C65F" w14:textId="6B2B7085" w:rsidR="00A865B4" w:rsidRDefault="00A865B4">
      <w:pPr>
        <w:pStyle w:val="CommentText"/>
      </w:pPr>
      <w:r>
        <w:rPr>
          <w:rStyle w:val="CommentReference"/>
        </w:rPr>
        <w:annotationRef/>
      </w:r>
      <w:r>
        <w:t>10/10</w:t>
      </w:r>
    </w:p>
  </w:comment>
  <w:comment w:id="8" w:author="Author" w:date="2015-02-22T11:52:00Z" w:initials="xxx">
    <w:p w14:paraId="74EFAE7A" w14:textId="2E020161" w:rsidR="00012B6F" w:rsidRDefault="00012B6F">
      <w:pPr>
        <w:pStyle w:val="CommentText"/>
      </w:pPr>
      <w:r>
        <w:rPr>
          <w:rStyle w:val="CommentReference"/>
        </w:rPr>
        <w:annotationRef/>
      </w:r>
      <w:r>
        <w:t>10/10</w:t>
      </w:r>
    </w:p>
  </w:comment>
  <w:comment w:id="9" w:author="Author" w:date="2015-02-22T11:59:00Z" w:initials="xxx">
    <w:p w14:paraId="32983B03" w14:textId="07742CE4" w:rsidR="005A260B" w:rsidRDefault="005A260B">
      <w:pPr>
        <w:pStyle w:val="CommentText"/>
      </w:pPr>
      <w:r>
        <w:rPr>
          <w:rStyle w:val="CommentReference"/>
        </w:rPr>
        <w:annotationRef/>
      </w:r>
      <w:r>
        <w:t>10/10</w:t>
      </w:r>
    </w:p>
  </w:comment>
  <w:comment w:id="10" w:author="Author" w:date="2015-02-22T12:01:00Z" w:initials="xxx">
    <w:p w14:paraId="12666DB9" w14:textId="6067A247" w:rsidR="005A260B" w:rsidRDefault="005A260B">
      <w:pPr>
        <w:pStyle w:val="CommentText"/>
      </w:pPr>
      <w:r>
        <w:rPr>
          <w:rStyle w:val="CommentReference"/>
        </w:rPr>
        <w:annotationRef/>
      </w:r>
      <w:r>
        <w:t>6/10</w:t>
      </w:r>
    </w:p>
    <w:p w14:paraId="0EEADB48" w14:textId="658C1991" w:rsidR="005A260B" w:rsidRDefault="005A260B">
      <w:pPr>
        <w:pStyle w:val="CommentText"/>
      </w:pPr>
      <w:r>
        <w:t xml:space="preserve">As the Key says, </w:t>
      </w:r>
      <w:r w:rsidR="00460EED">
        <w:t>should mention that “</w:t>
      </w:r>
      <w:r>
        <w:t>t</w:t>
      </w:r>
      <w:r>
        <w:t>o explore evidence that these variables might add precision to our analysis, we would want to consider the hazard ratio estimates from a model that includes age, sex, and log bilirubin</w:t>
      </w:r>
      <w:r w:rsidR="00460EED">
        <w:t>”</w:t>
      </w:r>
      <w:r>
        <w:t>.</w:t>
      </w:r>
    </w:p>
  </w:comment>
  <w:comment w:id="11" w:author="Author" w:date="2015-02-22T12:03:00Z" w:initials="xxx">
    <w:p w14:paraId="02998AF5" w14:textId="2ED649FF" w:rsidR="00DC1A27" w:rsidRDefault="00DC1A27">
      <w:pPr>
        <w:pStyle w:val="CommentText"/>
      </w:pPr>
      <w:r>
        <w:rPr>
          <w:rStyle w:val="CommentReference"/>
        </w:rPr>
        <w:annotationRef/>
      </w:r>
      <w:r>
        <w:t>10/10</w:t>
      </w:r>
    </w:p>
  </w:comment>
  <w:comment w:id="12" w:author="Author" w:date="2015-02-22T12:05:00Z" w:initials="xxx">
    <w:p w14:paraId="41E1F8E2" w14:textId="7F2DB55C" w:rsidR="00460EED" w:rsidRDefault="00460EED">
      <w:pPr>
        <w:pStyle w:val="CommentText"/>
      </w:pPr>
      <w:r>
        <w:rPr>
          <w:rStyle w:val="CommentReference"/>
        </w:rPr>
        <w:annotationRef/>
      </w:r>
      <w:r>
        <w:t>0/10</w:t>
      </w:r>
    </w:p>
    <w:p w14:paraId="4ABDBAAC" w14:textId="71E8C46C" w:rsidR="00460EED" w:rsidRDefault="00460EED">
      <w:pPr>
        <w:pStyle w:val="CommentText"/>
      </w:pPr>
      <w:r>
        <w:t>The key says “</w:t>
      </w:r>
      <w:r>
        <w:t>The student either pointed out that the RCT in some sense precluded confounding, or they did not. Hence, the student either got the 10 points, or they did not.</w:t>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4E9EC9" w15:done="0"/>
  <w15:commentEx w15:paraId="2BAC6732" w15:done="0"/>
  <w15:commentEx w15:paraId="4C3572D6" w15:done="0"/>
  <w15:commentEx w15:paraId="5E54179E" w15:done="0"/>
  <w15:commentEx w15:paraId="281D7E57" w15:done="0"/>
  <w15:commentEx w15:paraId="3807D410" w15:done="0"/>
  <w15:commentEx w15:paraId="56A0C65F" w15:done="0"/>
  <w15:commentEx w15:paraId="74EFAE7A" w15:done="0"/>
  <w15:commentEx w15:paraId="32983B03" w15:done="0"/>
  <w15:commentEx w15:paraId="0EEADB48" w15:done="0"/>
  <w15:commentEx w15:paraId="02998AF5" w15:done="0"/>
  <w15:commentEx w15:paraId="4ABDBAA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675267"/>
    <w:rsid w:val="000059FF"/>
    <w:rsid w:val="00012B6F"/>
    <w:rsid w:val="00017943"/>
    <w:rsid w:val="00047D1D"/>
    <w:rsid w:val="00077722"/>
    <w:rsid w:val="000861BF"/>
    <w:rsid w:val="000A717E"/>
    <w:rsid w:val="000B6FCC"/>
    <w:rsid w:val="000C70AE"/>
    <w:rsid w:val="000E418C"/>
    <w:rsid w:val="000E62D5"/>
    <w:rsid w:val="00104920"/>
    <w:rsid w:val="00131F2C"/>
    <w:rsid w:val="001427F8"/>
    <w:rsid w:val="001543FE"/>
    <w:rsid w:val="00155630"/>
    <w:rsid w:val="001A48AE"/>
    <w:rsid w:val="001C0EE5"/>
    <w:rsid w:val="001F2847"/>
    <w:rsid w:val="00206BF3"/>
    <w:rsid w:val="00214EDD"/>
    <w:rsid w:val="0022049B"/>
    <w:rsid w:val="002344F7"/>
    <w:rsid w:val="002412C5"/>
    <w:rsid w:val="00265134"/>
    <w:rsid w:val="0026633A"/>
    <w:rsid w:val="002703D6"/>
    <w:rsid w:val="0027134F"/>
    <w:rsid w:val="00293647"/>
    <w:rsid w:val="002B2E1D"/>
    <w:rsid w:val="002C2ABF"/>
    <w:rsid w:val="003033A0"/>
    <w:rsid w:val="0030408D"/>
    <w:rsid w:val="0031439D"/>
    <w:rsid w:val="003276DD"/>
    <w:rsid w:val="00344E25"/>
    <w:rsid w:val="00355550"/>
    <w:rsid w:val="00355AEA"/>
    <w:rsid w:val="003A3090"/>
    <w:rsid w:val="003B0B70"/>
    <w:rsid w:val="003C1F89"/>
    <w:rsid w:val="003D3C38"/>
    <w:rsid w:val="003F46F1"/>
    <w:rsid w:val="003F7476"/>
    <w:rsid w:val="004526A3"/>
    <w:rsid w:val="00453BDD"/>
    <w:rsid w:val="00460D09"/>
    <w:rsid w:val="00460EED"/>
    <w:rsid w:val="00496AE5"/>
    <w:rsid w:val="004B00F3"/>
    <w:rsid w:val="00507D34"/>
    <w:rsid w:val="0053463C"/>
    <w:rsid w:val="0054275A"/>
    <w:rsid w:val="00555AAC"/>
    <w:rsid w:val="00560A5B"/>
    <w:rsid w:val="00582501"/>
    <w:rsid w:val="005905D1"/>
    <w:rsid w:val="005A0B8B"/>
    <w:rsid w:val="005A260B"/>
    <w:rsid w:val="005A3474"/>
    <w:rsid w:val="005B49C6"/>
    <w:rsid w:val="005D2C79"/>
    <w:rsid w:val="005D39C7"/>
    <w:rsid w:val="005F7AE6"/>
    <w:rsid w:val="0066507B"/>
    <w:rsid w:val="00670E5E"/>
    <w:rsid w:val="00672353"/>
    <w:rsid w:val="00675267"/>
    <w:rsid w:val="006A584A"/>
    <w:rsid w:val="006C2D61"/>
    <w:rsid w:val="006D0E5D"/>
    <w:rsid w:val="006E0FA8"/>
    <w:rsid w:val="007320CC"/>
    <w:rsid w:val="007802D4"/>
    <w:rsid w:val="0078048C"/>
    <w:rsid w:val="00785570"/>
    <w:rsid w:val="00794D37"/>
    <w:rsid w:val="007B3CA8"/>
    <w:rsid w:val="007C1A6E"/>
    <w:rsid w:val="008460A9"/>
    <w:rsid w:val="00852710"/>
    <w:rsid w:val="0086115A"/>
    <w:rsid w:val="00883AC7"/>
    <w:rsid w:val="00894EBB"/>
    <w:rsid w:val="00896588"/>
    <w:rsid w:val="008A7178"/>
    <w:rsid w:val="008F0D90"/>
    <w:rsid w:val="00900FFA"/>
    <w:rsid w:val="009018A9"/>
    <w:rsid w:val="00916505"/>
    <w:rsid w:val="009208EE"/>
    <w:rsid w:val="009509F1"/>
    <w:rsid w:val="00970914"/>
    <w:rsid w:val="00973258"/>
    <w:rsid w:val="00981ED5"/>
    <w:rsid w:val="009B3086"/>
    <w:rsid w:val="009B68A3"/>
    <w:rsid w:val="009C46A9"/>
    <w:rsid w:val="009E126C"/>
    <w:rsid w:val="00A26F1E"/>
    <w:rsid w:val="00A37CDF"/>
    <w:rsid w:val="00A4345A"/>
    <w:rsid w:val="00A45404"/>
    <w:rsid w:val="00A5794D"/>
    <w:rsid w:val="00A613C2"/>
    <w:rsid w:val="00A82B16"/>
    <w:rsid w:val="00A84537"/>
    <w:rsid w:val="00A865B4"/>
    <w:rsid w:val="00A919EF"/>
    <w:rsid w:val="00AA055F"/>
    <w:rsid w:val="00AE4357"/>
    <w:rsid w:val="00AE4BC5"/>
    <w:rsid w:val="00AF09C9"/>
    <w:rsid w:val="00AF75B0"/>
    <w:rsid w:val="00B24890"/>
    <w:rsid w:val="00B46CE9"/>
    <w:rsid w:val="00B64CAF"/>
    <w:rsid w:val="00B67D45"/>
    <w:rsid w:val="00B80641"/>
    <w:rsid w:val="00B93C64"/>
    <w:rsid w:val="00BB651D"/>
    <w:rsid w:val="00BC1885"/>
    <w:rsid w:val="00BF3626"/>
    <w:rsid w:val="00C2622A"/>
    <w:rsid w:val="00C27479"/>
    <w:rsid w:val="00C37B58"/>
    <w:rsid w:val="00CB10CC"/>
    <w:rsid w:val="00CD7680"/>
    <w:rsid w:val="00D03E64"/>
    <w:rsid w:val="00D2403D"/>
    <w:rsid w:val="00D66EA2"/>
    <w:rsid w:val="00D855CE"/>
    <w:rsid w:val="00DA27A1"/>
    <w:rsid w:val="00DB4035"/>
    <w:rsid w:val="00DB54DF"/>
    <w:rsid w:val="00DC1A27"/>
    <w:rsid w:val="00E3009B"/>
    <w:rsid w:val="00E33A1B"/>
    <w:rsid w:val="00E34A1F"/>
    <w:rsid w:val="00E42069"/>
    <w:rsid w:val="00E815B9"/>
    <w:rsid w:val="00EE4720"/>
    <w:rsid w:val="00EF169F"/>
    <w:rsid w:val="00EF2877"/>
    <w:rsid w:val="00EF6D28"/>
    <w:rsid w:val="00EF6E0B"/>
    <w:rsid w:val="00F42BD5"/>
    <w:rsid w:val="00F52312"/>
    <w:rsid w:val="00F57798"/>
    <w:rsid w:val="00F81A6F"/>
    <w:rsid w:val="00F90F28"/>
    <w:rsid w:val="00F91580"/>
    <w:rsid w:val="00FA48E2"/>
    <w:rsid w:val="00FF2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F0E90"/>
  <w15:docId w15:val="{7978002B-4029-4B4B-9632-792137A7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0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8A9"/>
    <w:pPr>
      <w:ind w:left="720"/>
      <w:contextualSpacing/>
    </w:pPr>
  </w:style>
  <w:style w:type="paragraph" w:styleId="BalloonText">
    <w:name w:val="Balloon Text"/>
    <w:basedOn w:val="Normal"/>
    <w:link w:val="BalloonTextChar"/>
    <w:uiPriority w:val="99"/>
    <w:semiHidden/>
    <w:unhideWhenUsed/>
    <w:rsid w:val="00304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08D"/>
    <w:rPr>
      <w:rFonts w:ascii="Tahoma" w:hAnsi="Tahoma" w:cs="Tahoma"/>
      <w:sz w:val="16"/>
      <w:szCs w:val="16"/>
    </w:rPr>
  </w:style>
  <w:style w:type="character" w:styleId="CommentReference">
    <w:name w:val="annotation reference"/>
    <w:basedOn w:val="DefaultParagraphFont"/>
    <w:uiPriority w:val="99"/>
    <w:semiHidden/>
    <w:unhideWhenUsed/>
    <w:rsid w:val="005D39C7"/>
    <w:rPr>
      <w:sz w:val="16"/>
      <w:szCs w:val="16"/>
    </w:rPr>
  </w:style>
  <w:style w:type="paragraph" w:styleId="CommentText">
    <w:name w:val="annotation text"/>
    <w:basedOn w:val="Normal"/>
    <w:link w:val="CommentTextChar"/>
    <w:uiPriority w:val="99"/>
    <w:semiHidden/>
    <w:unhideWhenUsed/>
    <w:rsid w:val="005D39C7"/>
    <w:pPr>
      <w:spacing w:line="240" w:lineRule="auto"/>
    </w:pPr>
    <w:rPr>
      <w:sz w:val="20"/>
      <w:szCs w:val="20"/>
    </w:rPr>
  </w:style>
  <w:style w:type="character" w:customStyle="1" w:styleId="CommentTextChar">
    <w:name w:val="Comment Text Char"/>
    <w:basedOn w:val="DefaultParagraphFont"/>
    <w:link w:val="CommentText"/>
    <w:uiPriority w:val="99"/>
    <w:semiHidden/>
    <w:rsid w:val="005D39C7"/>
    <w:rPr>
      <w:sz w:val="20"/>
      <w:szCs w:val="20"/>
    </w:rPr>
  </w:style>
  <w:style w:type="paragraph" w:styleId="CommentSubject">
    <w:name w:val="annotation subject"/>
    <w:basedOn w:val="CommentText"/>
    <w:next w:val="CommentText"/>
    <w:link w:val="CommentSubjectChar"/>
    <w:uiPriority w:val="99"/>
    <w:semiHidden/>
    <w:unhideWhenUsed/>
    <w:rsid w:val="005D39C7"/>
    <w:rPr>
      <w:b/>
      <w:bCs/>
    </w:rPr>
  </w:style>
  <w:style w:type="character" w:customStyle="1" w:styleId="CommentSubjectChar">
    <w:name w:val="Comment Subject Char"/>
    <w:basedOn w:val="CommentTextChar"/>
    <w:link w:val="CommentSubject"/>
    <w:uiPriority w:val="99"/>
    <w:semiHidden/>
    <w:rsid w:val="005D39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562725">
      <w:bodyDiv w:val="1"/>
      <w:marLeft w:val="0"/>
      <w:marRight w:val="0"/>
      <w:marTop w:val="0"/>
      <w:marBottom w:val="0"/>
      <w:divBdr>
        <w:top w:val="none" w:sz="0" w:space="0" w:color="auto"/>
        <w:left w:val="none" w:sz="0" w:space="0" w:color="auto"/>
        <w:bottom w:val="none" w:sz="0" w:space="0" w:color="auto"/>
        <w:right w:val="none" w:sz="0" w:space="0" w:color="auto"/>
      </w:divBdr>
    </w:div>
    <w:div w:id="1092504682">
      <w:bodyDiv w:val="1"/>
      <w:marLeft w:val="0"/>
      <w:marRight w:val="0"/>
      <w:marTop w:val="0"/>
      <w:marBottom w:val="0"/>
      <w:divBdr>
        <w:top w:val="none" w:sz="0" w:space="0" w:color="auto"/>
        <w:left w:val="none" w:sz="0" w:space="0" w:color="auto"/>
        <w:bottom w:val="none" w:sz="0" w:space="0" w:color="auto"/>
        <w:right w:val="none" w:sz="0" w:space="0" w:color="auto"/>
      </w:divBdr>
    </w:div>
    <w:div w:id="1523127969">
      <w:bodyDiv w:val="1"/>
      <w:marLeft w:val="0"/>
      <w:marRight w:val="0"/>
      <w:marTop w:val="0"/>
      <w:marBottom w:val="0"/>
      <w:divBdr>
        <w:top w:val="none" w:sz="0" w:space="0" w:color="auto"/>
        <w:left w:val="none" w:sz="0" w:space="0" w:color="auto"/>
        <w:bottom w:val="none" w:sz="0" w:space="0" w:color="auto"/>
        <w:right w:val="none" w:sz="0" w:space="0" w:color="auto"/>
      </w:divBdr>
    </w:div>
    <w:div w:id="187114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microsoft.com/office/2011/relationships/people" Target="people.xml"/><Relationship Id="rId5" Type="http://schemas.microsoft.com/office/2011/relationships/commentsExtended" Target="commentsExtended.xml"/><Relationship Id="rId10" Type="http://schemas.openxmlformats.org/officeDocument/2006/relationships/fontTable" Target="fontTable.xml"/><Relationship Id="rId4" Type="http://schemas.openxmlformats.org/officeDocument/2006/relationships/comments" Target="comment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9</Pages>
  <Words>2457</Words>
  <Characters>14010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Faculdade de Medicina, UEM</Company>
  <LinksUpToDate>false</LinksUpToDate>
  <CharactersWithSpaces>16435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Orvalho Joaquim Augusto</dc:creator>
  <cp:keywords/>
  <dc:description/>
  <cp:lastModifiedBy>Author</cp:lastModifiedBy>
  <cp:revision>39</cp:revision>
  <dcterms:created xsi:type="dcterms:W3CDTF">2015-02-09T00:31:00Z</dcterms:created>
  <dcterms:modified xsi:type="dcterms:W3CDTF">2015-02-22T20:10:00Z</dcterms:modified>
</cp:coreProperties>
</file>