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55993" w14:textId="77777777" w:rsidR="006C0F65" w:rsidRPr="00880598" w:rsidRDefault="006C0F65" w:rsidP="006C0F65">
      <w:pPr>
        <w:spacing w:after="0"/>
        <w:rPr>
          <w:rFonts w:ascii="Times New Roman" w:hAnsi="Times New Roman" w:cs="Times New Roman"/>
          <w:sz w:val="24"/>
          <w:szCs w:val="24"/>
        </w:rPr>
      </w:pPr>
      <w:r w:rsidRPr="00880598">
        <w:rPr>
          <w:rFonts w:ascii="Times New Roman" w:hAnsi="Times New Roman" w:cs="Times New Roman"/>
          <w:sz w:val="24"/>
          <w:szCs w:val="24"/>
        </w:rPr>
        <w:t>Homework #</w:t>
      </w:r>
      <w:commentRangeStart w:id="0"/>
      <w:r w:rsidRPr="00880598">
        <w:rPr>
          <w:rFonts w:ascii="Times New Roman" w:hAnsi="Times New Roman" w:cs="Times New Roman"/>
          <w:sz w:val="24"/>
          <w:szCs w:val="24"/>
        </w:rPr>
        <w:t>4</w:t>
      </w:r>
      <w:commentRangeEnd w:id="0"/>
      <w:r w:rsidR="00267F31">
        <w:rPr>
          <w:rStyle w:val="CommentReference"/>
        </w:rPr>
        <w:commentReference w:id="0"/>
      </w:r>
    </w:p>
    <w:p w14:paraId="53DA4560" w14:textId="77777777" w:rsidR="006C0F65" w:rsidRPr="00880598" w:rsidRDefault="006C0F65" w:rsidP="006C0F65">
      <w:pPr>
        <w:spacing w:after="0"/>
        <w:rPr>
          <w:rFonts w:ascii="Times New Roman" w:hAnsi="Times New Roman" w:cs="Times New Roman"/>
          <w:sz w:val="24"/>
          <w:szCs w:val="24"/>
        </w:rPr>
      </w:pPr>
      <w:r w:rsidRPr="00880598">
        <w:rPr>
          <w:rFonts w:ascii="Times New Roman" w:hAnsi="Times New Roman" w:cs="Times New Roman"/>
          <w:sz w:val="24"/>
          <w:szCs w:val="24"/>
        </w:rPr>
        <w:t>10 February 2015</w:t>
      </w:r>
    </w:p>
    <w:p w14:paraId="77A46012" w14:textId="77777777" w:rsidR="006C0F65" w:rsidRPr="00880598" w:rsidRDefault="006C0F65" w:rsidP="006C0F65">
      <w:pPr>
        <w:spacing w:after="0"/>
        <w:rPr>
          <w:rFonts w:ascii="Times New Roman" w:hAnsi="Times New Roman" w:cs="Times New Roman"/>
          <w:sz w:val="24"/>
          <w:szCs w:val="24"/>
        </w:rPr>
      </w:pPr>
    </w:p>
    <w:p w14:paraId="78067777" w14:textId="77777777" w:rsidR="006C0F65" w:rsidRPr="00880598" w:rsidRDefault="006C0F65" w:rsidP="006C0F65">
      <w:pPr>
        <w:spacing w:after="0"/>
        <w:rPr>
          <w:rFonts w:ascii="Times New Roman" w:hAnsi="Times New Roman" w:cs="Times New Roman"/>
          <w:b/>
          <w:sz w:val="24"/>
          <w:szCs w:val="24"/>
        </w:rPr>
      </w:pPr>
      <w:r w:rsidRPr="00880598">
        <w:rPr>
          <w:rFonts w:ascii="Times New Roman" w:hAnsi="Times New Roman" w:cs="Times New Roman"/>
          <w:b/>
          <w:sz w:val="24"/>
          <w:szCs w:val="24"/>
        </w:rPr>
        <w:t xml:space="preserve">Question </w:t>
      </w:r>
      <w:commentRangeStart w:id="2"/>
      <w:r w:rsidRPr="00880598">
        <w:rPr>
          <w:rFonts w:ascii="Times New Roman" w:hAnsi="Times New Roman" w:cs="Times New Roman"/>
          <w:b/>
          <w:sz w:val="24"/>
          <w:szCs w:val="24"/>
        </w:rPr>
        <w:t>1</w:t>
      </w:r>
      <w:commentRangeEnd w:id="2"/>
      <w:r w:rsidR="00267F31">
        <w:rPr>
          <w:rStyle w:val="CommentReference"/>
        </w:rPr>
        <w:commentReference w:id="2"/>
      </w:r>
      <w:r w:rsidRPr="00880598">
        <w:rPr>
          <w:rFonts w:ascii="Times New Roman" w:hAnsi="Times New Roman" w:cs="Times New Roman"/>
          <w:b/>
          <w:sz w:val="24"/>
          <w:szCs w:val="24"/>
        </w:rPr>
        <w:t xml:space="preserve">. </w:t>
      </w:r>
    </w:p>
    <w:p w14:paraId="2B2203D9" w14:textId="77777777" w:rsidR="006C0F65" w:rsidRPr="00880598" w:rsidRDefault="006C0F65" w:rsidP="00511731">
      <w:pPr>
        <w:spacing w:after="0"/>
        <w:rPr>
          <w:rFonts w:ascii="Times New Roman" w:hAnsi="Times New Roman" w:cs="Times New Roman"/>
          <w:color w:val="FF0000"/>
          <w:sz w:val="24"/>
          <w:szCs w:val="24"/>
        </w:rPr>
      </w:pPr>
      <w:r w:rsidRPr="00880598">
        <w:rPr>
          <w:rFonts w:ascii="Times New Roman" w:hAnsi="Times New Roman" w:cs="Times New Roman"/>
          <w:sz w:val="24"/>
          <w:szCs w:val="24"/>
          <w:u w:val="single"/>
        </w:rPr>
        <w:t>Methods</w:t>
      </w:r>
      <w:r w:rsidRPr="00880598">
        <w:rPr>
          <w:rFonts w:ascii="Times New Roman" w:hAnsi="Times New Roman" w:cs="Times New Roman"/>
          <w:sz w:val="24"/>
          <w:szCs w:val="24"/>
        </w:rPr>
        <w:t>: Descriptive statistics are presented for the variables of interest in the following analyses. Because bilirubin is a blood marker, it is likely to act on a multiplicative scale. Thus, bilirubin levels were divided into four categories for ease of presentation based on an approximately doubling: 0-1 (not including 1), 1-2 (not including 2), 2-4 (not including 4), and &gt;=4. Kaplan-Meier survival estimates for all-cause mortality are shown by bilirubin category, sex, age categories, and treatment arm. Table 1 shows mean, standard deviation, minimum, maximum, and sample size of age in each bilirubin category. Table 1 also shows the proportion of females and proportion in the intervention arm by bilirubin category, as well as the number of non-missing observations in each category.</w:t>
      </w:r>
    </w:p>
    <w:p w14:paraId="52FA59CC" w14:textId="77777777" w:rsidR="006C0F65" w:rsidRPr="00880598" w:rsidRDefault="006C0F65" w:rsidP="006C0F65">
      <w:pPr>
        <w:spacing w:after="0"/>
        <w:rPr>
          <w:rFonts w:ascii="Times New Roman" w:hAnsi="Times New Roman" w:cs="Times New Roman"/>
          <w:sz w:val="24"/>
          <w:szCs w:val="24"/>
        </w:rPr>
      </w:pPr>
    </w:p>
    <w:p w14:paraId="6953C943" w14:textId="77777777" w:rsidR="006C0F65" w:rsidRPr="00880598" w:rsidRDefault="006C0F65" w:rsidP="006C0F65">
      <w:pPr>
        <w:spacing w:after="0"/>
        <w:rPr>
          <w:rFonts w:ascii="Times New Roman" w:hAnsi="Times New Roman" w:cs="Times New Roman"/>
          <w:sz w:val="24"/>
          <w:szCs w:val="24"/>
        </w:rPr>
      </w:pPr>
      <w:r w:rsidRPr="00880598">
        <w:rPr>
          <w:rFonts w:ascii="Times New Roman" w:hAnsi="Times New Roman" w:cs="Times New Roman"/>
          <w:sz w:val="24"/>
          <w:szCs w:val="24"/>
          <w:u w:val="single"/>
        </w:rPr>
        <w:t>Results</w:t>
      </w:r>
      <w:r w:rsidRPr="00880598">
        <w:rPr>
          <w:rFonts w:ascii="Times New Roman" w:hAnsi="Times New Roman" w:cs="Times New Roman"/>
          <w:sz w:val="24"/>
          <w:szCs w:val="24"/>
        </w:rPr>
        <w:t>: There are a total of 418 subjects in this dataset, all of whom have a bilirubin measurement.</w:t>
      </w:r>
      <w:r w:rsidR="00A22276">
        <w:rPr>
          <w:rFonts w:ascii="Times New Roman" w:hAnsi="Times New Roman" w:cs="Times New Roman"/>
          <w:sz w:val="24"/>
          <w:szCs w:val="24"/>
        </w:rPr>
        <w:t xml:space="preserve"> The mean bilirubin level is 3.22 mg/dL (standard deviation of 4.41 and range of 0.300 to </w:t>
      </w:r>
      <w:r w:rsidR="0091218B">
        <w:rPr>
          <w:rFonts w:ascii="Times New Roman" w:hAnsi="Times New Roman" w:cs="Times New Roman"/>
          <w:sz w:val="24"/>
          <w:szCs w:val="24"/>
        </w:rPr>
        <w:t>28.0 mg/dL</w:t>
      </w:r>
      <w:r w:rsidR="00A22276">
        <w:rPr>
          <w:rFonts w:ascii="Times New Roman" w:hAnsi="Times New Roman" w:cs="Times New Roman"/>
          <w:sz w:val="24"/>
          <w:szCs w:val="24"/>
        </w:rPr>
        <w:t xml:space="preserve">). </w:t>
      </w:r>
      <w:r w:rsidRPr="00880598">
        <w:rPr>
          <w:rFonts w:ascii="Times New Roman" w:hAnsi="Times New Roman" w:cs="Times New Roman"/>
          <w:sz w:val="24"/>
          <w:szCs w:val="24"/>
        </w:rPr>
        <w:t xml:space="preserve"> Sex is missing for 106 subjects: 38 with bilirubin &lt;1, 30 with bilirubin &gt;=1 and &lt;2, 15 with bilirubin &gt;=2 and &lt;4, and 23 with bilirubin &gt;=4. Treatment arm (drug versus placebo) is also missing for a large number of subjects (108 total missing): 39 with bilirubin &lt;1, 31 with bilirubin &gt;=1 and &lt;2, 15 with bilirubin &gt;=2 and &lt;4, and 23 with bilirubin &gt;=4.</w:t>
      </w:r>
      <w:r w:rsidR="00C20C6C">
        <w:rPr>
          <w:rFonts w:ascii="Times New Roman" w:hAnsi="Times New Roman" w:cs="Times New Roman"/>
          <w:sz w:val="24"/>
          <w:szCs w:val="24"/>
        </w:rPr>
        <w:t xml:space="preserve"> The survival curves by bilirubin group illustrate a distinct difference in survival, with the highest bilirubin group (&gt;=4) having the lowest survival.</w:t>
      </w:r>
      <w:r w:rsidR="00170E87">
        <w:rPr>
          <w:rFonts w:ascii="Times New Roman" w:hAnsi="Times New Roman" w:cs="Times New Roman"/>
          <w:sz w:val="24"/>
          <w:szCs w:val="24"/>
        </w:rPr>
        <w:t xml:space="preserve"> As shown in table 1, the mean age is very similar across all four bilirubin groups (about 51 years) and thus is unlikely a confounder. The proportion of females is also similar across the bilirubin groups. The proportion of subjects in each treatment arm (drug or placebo) is also similar across groups. </w:t>
      </w:r>
      <w:r w:rsidR="009722A3" w:rsidRPr="00880598">
        <w:rPr>
          <w:rFonts w:ascii="Times New Roman" w:hAnsi="Times New Roman" w:cs="Times New Roman"/>
          <w:sz w:val="24"/>
          <w:szCs w:val="24"/>
        </w:rPr>
        <w:t>Kaplan-Meier survival curves are shown by sex and by treatment arm for those subjects with non-missing data for sex (n=312) and treatment arm (n=310).</w:t>
      </w:r>
      <w:r w:rsidR="009722A3" w:rsidRPr="009722A3">
        <w:rPr>
          <w:rFonts w:ascii="Times New Roman" w:hAnsi="Times New Roman" w:cs="Times New Roman"/>
          <w:sz w:val="24"/>
          <w:szCs w:val="24"/>
        </w:rPr>
        <w:t xml:space="preserve"> </w:t>
      </w:r>
      <w:r w:rsidR="009722A3">
        <w:rPr>
          <w:rFonts w:ascii="Times New Roman" w:hAnsi="Times New Roman" w:cs="Times New Roman"/>
          <w:sz w:val="24"/>
          <w:szCs w:val="24"/>
        </w:rPr>
        <w:t xml:space="preserve">Males appear to have worse survival as illustrated in the Kaplan-Meier survival curves by sex below. </w:t>
      </w:r>
      <w:r w:rsidR="00170E87">
        <w:rPr>
          <w:rFonts w:ascii="Times New Roman" w:hAnsi="Times New Roman" w:cs="Times New Roman"/>
          <w:sz w:val="24"/>
          <w:szCs w:val="24"/>
        </w:rPr>
        <w:t>Survival was relatively similar between each treatment arm, shown in the Kaplan-Meier curve below.</w:t>
      </w:r>
    </w:p>
    <w:p w14:paraId="4E5D0D98" w14:textId="77777777" w:rsidR="009722A3" w:rsidRPr="00B5181D" w:rsidRDefault="009722A3" w:rsidP="009722A3">
      <w:pPr>
        <w:spacing w:after="0"/>
        <w:rPr>
          <w:rFonts w:ascii="Times New Roman" w:hAnsi="Times New Roman" w:cs="Times New Roman"/>
          <w:b/>
          <w:sz w:val="16"/>
          <w:szCs w:val="16"/>
        </w:rPr>
      </w:pPr>
    </w:p>
    <w:p w14:paraId="62DF5C87" w14:textId="77777777" w:rsidR="009722A3" w:rsidRPr="00880598" w:rsidRDefault="009722A3" w:rsidP="009722A3">
      <w:pPr>
        <w:spacing w:after="0"/>
        <w:rPr>
          <w:rFonts w:ascii="Times New Roman" w:hAnsi="Times New Roman" w:cs="Times New Roman"/>
          <w:sz w:val="24"/>
          <w:szCs w:val="24"/>
        </w:rPr>
      </w:pPr>
      <w:r w:rsidRPr="00880598">
        <w:rPr>
          <w:rFonts w:ascii="Times New Roman" w:hAnsi="Times New Roman" w:cs="Times New Roman"/>
          <w:b/>
          <w:sz w:val="24"/>
          <w:szCs w:val="24"/>
        </w:rPr>
        <w:t>Table 1</w:t>
      </w:r>
      <w:r w:rsidRPr="00880598">
        <w:rPr>
          <w:rFonts w:ascii="Times New Roman" w:hAnsi="Times New Roman" w:cs="Times New Roman"/>
          <w:sz w:val="24"/>
          <w:szCs w:val="24"/>
        </w:rPr>
        <w:t>. Descriptive statistics by serum bilirubin level.</w:t>
      </w:r>
    </w:p>
    <w:tbl>
      <w:tblPr>
        <w:tblStyle w:val="TableGrid"/>
        <w:tblW w:w="9535" w:type="dxa"/>
        <w:tblLook w:val="04A0" w:firstRow="1" w:lastRow="0" w:firstColumn="1" w:lastColumn="0" w:noHBand="0" w:noVBand="1"/>
      </w:tblPr>
      <w:tblGrid>
        <w:gridCol w:w="1435"/>
        <w:gridCol w:w="1681"/>
        <w:gridCol w:w="1558"/>
        <w:gridCol w:w="1558"/>
        <w:gridCol w:w="1559"/>
        <w:gridCol w:w="1744"/>
      </w:tblGrid>
      <w:tr w:rsidR="009722A3" w:rsidRPr="00880598" w14:paraId="1E190C96" w14:textId="77777777" w:rsidTr="00267F31">
        <w:tc>
          <w:tcPr>
            <w:tcW w:w="1435" w:type="dxa"/>
          </w:tcPr>
          <w:p w14:paraId="2DED9EDB" w14:textId="77777777" w:rsidR="009722A3" w:rsidRPr="00880598" w:rsidRDefault="009722A3" w:rsidP="00267F31">
            <w:pPr>
              <w:rPr>
                <w:rFonts w:ascii="Times New Roman" w:hAnsi="Times New Roman" w:cs="Times New Roman"/>
                <w:sz w:val="24"/>
                <w:szCs w:val="24"/>
              </w:rPr>
            </w:pPr>
          </w:p>
        </w:tc>
        <w:tc>
          <w:tcPr>
            <w:tcW w:w="8100" w:type="dxa"/>
            <w:gridSpan w:val="5"/>
            <w:vAlign w:val="center"/>
          </w:tcPr>
          <w:p w14:paraId="0FF3FC0C" w14:textId="77777777" w:rsidR="009722A3" w:rsidRPr="00880598" w:rsidRDefault="009722A3" w:rsidP="00267F31">
            <w:pPr>
              <w:jc w:val="center"/>
              <w:rPr>
                <w:rFonts w:ascii="Times New Roman" w:hAnsi="Times New Roman" w:cs="Times New Roman"/>
                <w:b/>
                <w:sz w:val="24"/>
                <w:szCs w:val="24"/>
              </w:rPr>
            </w:pPr>
            <w:r w:rsidRPr="00880598">
              <w:rPr>
                <w:rFonts w:ascii="Times New Roman" w:hAnsi="Times New Roman" w:cs="Times New Roman"/>
                <w:b/>
                <w:sz w:val="24"/>
                <w:szCs w:val="24"/>
              </w:rPr>
              <w:t>Serum Bilirubin Level (mg/dL)</w:t>
            </w:r>
          </w:p>
        </w:tc>
      </w:tr>
      <w:tr w:rsidR="009722A3" w:rsidRPr="00880598" w14:paraId="2EADE8AA" w14:textId="77777777" w:rsidTr="00267F31">
        <w:tc>
          <w:tcPr>
            <w:tcW w:w="1435" w:type="dxa"/>
          </w:tcPr>
          <w:p w14:paraId="4204A11F" w14:textId="77777777" w:rsidR="009722A3" w:rsidRPr="00880598" w:rsidRDefault="009722A3" w:rsidP="00267F31">
            <w:pPr>
              <w:rPr>
                <w:rFonts w:ascii="Times New Roman" w:hAnsi="Times New Roman" w:cs="Times New Roman"/>
                <w:sz w:val="24"/>
                <w:szCs w:val="24"/>
              </w:rPr>
            </w:pPr>
          </w:p>
        </w:tc>
        <w:tc>
          <w:tcPr>
            <w:tcW w:w="1681" w:type="dxa"/>
            <w:vAlign w:val="center"/>
          </w:tcPr>
          <w:p w14:paraId="46A5F8CE" w14:textId="77777777" w:rsidR="009722A3" w:rsidRDefault="009722A3" w:rsidP="00267F31">
            <w:pPr>
              <w:jc w:val="center"/>
              <w:rPr>
                <w:rFonts w:ascii="Times New Roman" w:hAnsi="Times New Roman" w:cs="Times New Roman"/>
                <w:b/>
                <w:sz w:val="24"/>
                <w:szCs w:val="24"/>
              </w:rPr>
            </w:pPr>
            <w:r w:rsidRPr="00880598">
              <w:rPr>
                <w:rFonts w:ascii="Times New Roman" w:hAnsi="Times New Roman" w:cs="Times New Roman"/>
                <w:b/>
                <w:sz w:val="24"/>
                <w:szCs w:val="24"/>
              </w:rPr>
              <w:t xml:space="preserve">&lt;1 </w:t>
            </w:r>
          </w:p>
          <w:p w14:paraId="6846C8CE" w14:textId="77777777" w:rsidR="009722A3" w:rsidRPr="00880598" w:rsidRDefault="009722A3" w:rsidP="00267F31">
            <w:pPr>
              <w:jc w:val="center"/>
              <w:rPr>
                <w:rFonts w:ascii="Times New Roman" w:hAnsi="Times New Roman" w:cs="Times New Roman"/>
                <w:b/>
                <w:sz w:val="24"/>
                <w:szCs w:val="24"/>
              </w:rPr>
            </w:pPr>
            <w:r w:rsidRPr="00880598">
              <w:rPr>
                <w:rFonts w:ascii="Times New Roman" w:hAnsi="Times New Roman" w:cs="Times New Roman"/>
                <w:b/>
                <w:sz w:val="24"/>
                <w:szCs w:val="24"/>
              </w:rPr>
              <w:t>(n=142)</w:t>
            </w:r>
          </w:p>
        </w:tc>
        <w:tc>
          <w:tcPr>
            <w:tcW w:w="1558" w:type="dxa"/>
            <w:vAlign w:val="center"/>
          </w:tcPr>
          <w:p w14:paraId="7E927C18" w14:textId="77777777" w:rsidR="009722A3" w:rsidRPr="00880598" w:rsidRDefault="009722A3" w:rsidP="00267F31">
            <w:pPr>
              <w:jc w:val="center"/>
              <w:rPr>
                <w:rFonts w:ascii="Times New Roman" w:hAnsi="Times New Roman" w:cs="Times New Roman"/>
                <w:b/>
                <w:sz w:val="24"/>
                <w:szCs w:val="24"/>
              </w:rPr>
            </w:pPr>
            <w:r w:rsidRPr="00880598">
              <w:rPr>
                <w:rFonts w:ascii="Times New Roman" w:hAnsi="Times New Roman" w:cs="Times New Roman"/>
                <w:b/>
                <w:sz w:val="24"/>
                <w:szCs w:val="24"/>
              </w:rPr>
              <w:t>&gt;=1 &amp; &lt;2 (n=107)</w:t>
            </w:r>
          </w:p>
        </w:tc>
        <w:tc>
          <w:tcPr>
            <w:tcW w:w="1558" w:type="dxa"/>
            <w:vAlign w:val="center"/>
          </w:tcPr>
          <w:p w14:paraId="54AFAF2F" w14:textId="77777777" w:rsidR="009722A3" w:rsidRPr="00880598" w:rsidRDefault="009722A3" w:rsidP="00267F31">
            <w:pPr>
              <w:jc w:val="center"/>
              <w:rPr>
                <w:rFonts w:ascii="Times New Roman" w:hAnsi="Times New Roman" w:cs="Times New Roman"/>
                <w:b/>
                <w:sz w:val="24"/>
                <w:szCs w:val="24"/>
              </w:rPr>
            </w:pPr>
            <w:r w:rsidRPr="00880598">
              <w:rPr>
                <w:rFonts w:ascii="Times New Roman" w:hAnsi="Times New Roman" w:cs="Times New Roman"/>
                <w:b/>
                <w:sz w:val="24"/>
                <w:szCs w:val="24"/>
              </w:rPr>
              <w:t>&gt;=2 &amp; &lt;4 (n=78)</w:t>
            </w:r>
          </w:p>
        </w:tc>
        <w:tc>
          <w:tcPr>
            <w:tcW w:w="1559" w:type="dxa"/>
            <w:vAlign w:val="center"/>
          </w:tcPr>
          <w:p w14:paraId="72E091B0" w14:textId="77777777" w:rsidR="009722A3" w:rsidRDefault="009722A3" w:rsidP="00267F31">
            <w:pPr>
              <w:jc w:val="center"/>
              <w:rPr>
                <w:rFonts w:ascii="Times New Roman" w:hAnsi="Times New Roman" w:cs="Times New Roman"/>
                <w:b/>
                <w:sz w:val="24"/>
                <w:szCs w:val="24"/>
              </w:rPr>
            </w:pPr>
            <w:r w:rsidRPr="00880598">
              <w:rPr>
                <w:rFonts w:ascii="Times New Roman" w:hAnsi="Times New Roman" w:cs="Times New Roman"/>
                <w:b/>
                <w:sz w:val="24"/>
                <w:szCs w:val="24"/>
              </w:rPr>
              <w:t xml:space="preserve">&gt;=4 </w:t>
            </w:r>
          </w:p>
          <w:p w14:paraId="2C41F131" w14:textId="77777777" w:rsidR="009722A3" w:rsidRPr="00880598" w:rsidRDefault="009722A3" w:rsidP="00267F31">
            <w:pPr>
              <w:jc w:val="center"/>
              <w:rPr>
                <w:rFonts w:ascii="Times New Roman" w:hAnsi="Times New Roman" w:cs="Times New Roman"/>
                <w:b/>
                <w:sz w:val="24"/>
                <w:szCs w:val="24"/>
              </w:rPr>
            </w:pPr>
            <w:r w:rsidRPr="00880598">
              <w:rPr>
                <w:rFonts w:ascii="Times New Roman" w:hAnsi="Times New Roman" w:cs="Times New Roman"/>
                <w:b/>
                <w:sz w:val="24"/>
                <w:szCs w:val="24"/>
              </w:rPr>
              <w:t>(n=91)</w:t>
            </w:r>
          </w:p>
        </w:tc>
        <w:tc>
          <w:tcPr>
            <w:tcW w:w="1744" w:type="dxa"/>
            <w:vAlign w:val="center"/>
          </w:tcPr>
          <w:p w14:paraId="78CEC023" w14:textId="77777777" w:rsidR="009722A3" w:rsidRPr="00880598" w:rsidRDefault="009722A3" w:rsidP="00267F31">
            <w:pPr>
              <w:jc w:val="center"/>
              <w:rPr>
                <w:rFonts w:ascii="Times New Roman" w:hAnsi="Times New Roman" w:cs="Times New Roman"/>
                <w:b/>
                <w:sz w:val="24"/>
                <w:szCs w:val="24"/>
              </w:rPr>
            </w:pPr>
            <w:r w:rsidRPr="00880598">
              <w:rPr>
                <w:rFonts w:ascii="Times New Roman" w:hAnsi="Times New Roman" w:cs="Times New Roman"/>
                <w:b/>
                <w:sz w:val="24"/>
                <w:szCs w:val="24"/>
              </w:rPr>
              <w:t>Overall (n=418)</w:t>
            </w:r>
          </w:p>
        </w:tc>
      </w:tr>
      <w:tr w:rsidR="009722A3" w:rsidRPr="00880598" w14:paraId="595D5DB3" w14:textId="77777777" w:rsidTr="00267F31">
        <w:tc>
          <w:tcPr>
            <w:tcW w:w="1435" w:type="dxa"/>
            <w:vAlign w:val="center"/>
          </w:tcPr>
          <w:p w14:paraId="60C3959A" w14:textId="77777777" w:rsidR="009722A3" w:rsidRPr="00880598" w:rsidRDefault="009722A3" w:rsidP="00267F31">
            <w:pPr>
              <w:rPr>
                <w:rFonts w:ascii="Times New Roman" w:hAnsi="Times New Roman" w:cs="Times New Roman"/>
                <w:b/>
                <w:sz w:val="24"/>
                <w:szCs w:val="24"/>
              </w:rPr>
            </w:pPr>
            <w:r w:rsidRPr="00880598">
              <w:rPr>
                <w:rFonts w:ascii="Times New Roman" w:hAnsi="Times New Roman" w:cs="Times New Roman"/>
                <w:b/>
                <w:sz w:val="24"/>
                <w:szCs w:val="24"/>
              </w:rPr>
              <w:t>Age (years)</w:t>
            </w:r>
            <w:r w:rsidRPr="00170E87">
              <w:rPr>
                <w:rFonts w:ascii="Times New Roman" w:hAnsi="Times New Roman" w:cs="Times New Roman"/>
                <w:b/>
                <w:sz w:val="24"/>
                <w:szCs w:val="24"/>
                <w:vertAlign w:val="superscript"/>
              </w:rPr>
              <w:t>a</w:t>
            </w:r>
          </w:p>
        </w:tc>
        <w:tc>
          <w:tcPr>
            <w:tcW w:w="1681" w:type="dxa"/>
            <w:vAlign w:val="center"/>
          </w:tcPr>
          <w:p w14:paraId="4A4F189A"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51.2 (9.80; 30.6-75.0; n=142)</w:t>
            </w:r>
          </w:p>
        </w:tc>
        <w:tc>
          <w:tcPr>
            <w:tcW w:w="1558" w:type="dxa"/>
            <w:vAlign w:val="center"/>
          </w:tcPr>
          <w:p w14:paraId="576F95C0"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50.6 (10.8; 26.3-76.7; n=107)</w:t>
            </w:r>
          </w:p>
        </w:tc>
        <w:tc>
          <w:tcPr>
            <w:tcW w:w="1558" w:type="dxa"/>
            <w:vAlign w:val="center"/>
          </w:tcPr>
          <w:p w14:paraId="6ED0BD5D"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50.2 (11.4; 29.6-71.9; n=78)</w:t>
            </w:r>
          </w:p>
        </w:tc>
        <w:tc>
          <w:tcPr>
            <w:tcW w:w="1559" w:type="dxa"/>
            <w:vAlign w:val="center"/>
          </w:tcPr>
          <w:p w14:paraId="58FD9816"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50.7 (10.4; 30.9-78.4; n=91)</w:t>
            </w:r>
          </w:p>
        </w:tc>
        <w:tc>
          <w:tcPr>
            <w:tcW w:w="1744" w:type="dxa"/>
            <w:vAlign w:val="center"/>
          </w:tcPr>
          <w:p w14:paraId="13C07536"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50.7 (10.4; 26.3-78.4; n=418)</w:t>
            </w:r>
          </w:p>
        </w:tc>
      </w:tr>
      <w:tr w:rsidR="009722A3" w:rsidRPr="00880598" w14:paraId="4476904E" w14:textId="77777777" w:rsidTr="00267F31">
        <w:tc>
          <w:tcPr>
            <w:tcW w:w="1435" w:type="dxa"/>
            <w:vAlign w:val="center"/>
          </w:tcPr>
          <w:p w14:paraId="6DE087FF" w14:textId="77777777" w:rsidR="009722A3" w:rsidRPr="00880598" w:rsidRDefault="009722A3" w:rsidP="00267F31">
            <w:pPr>
              <w:rPr>
                <w:rFonts w:ascii="Times New Roman" w:hAnsi="Times New Roman" w:cs="Times New Roman"/>
                <w:b/>
                <w:sz w:val="24"/>
                <w:szCs w:val="24"/>
              </w:rPr>
            </w:pPr>
            <w:r w:rsidRPr="00880598">
              <w:rPr>
                <w:rFonts w:ascii="Times New Roman" w:hAnsi="Times New Roman" w:cs="Times New Roman"/>
                <w:b/>
                <w:sz w:val="24"/>
                <w:szCs w:val="24"/>
              </w:rPr>
              <w:t>Female</w:t>
            </w:r>
            <w:r w:rsidRPr="00170E87">
              <w:rPr>
                <w:rFonts w:ascii="Times New Roman" w:hAnsi="Times New Roman" w:cs="Times New Roman"/>
                <w:sz w:val="20"/>
                <w:szCs w:val="24"/>
                <w:vertAlign w:val="superscript"/>
              </w:rPr>
              <w:t>b</w:t>
            </w:r>
            <w:r w:rsidRPr="00880598">
              <w:rPr>
                <w:rFonts w:ascii="Times New Roman" w:hAnsi="Times New Roman" w:cs="Times New Roman"/>
                <w:b/>
                <w:sz w:val="24"/>
                <w:szCs w:val="24"/>
              </w:rPr>
              <w:t xml:space="preserve"> (%)</w:t>
            </w:r>
          </w:p>
        </w:tc>
        <w:tc>
          <w:tcPr>
            <w:tcW w:w="1681" w:type="dxa"/>
            <w:vAlign w:val="center"/>
          </w:tcPr>
          <w:p w14:paraId="59CE3806"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93.3% (n=104)</w:t>
            </w:r>
          </w:p>
        </w:tc>
        <w:tc>
          <w:tcPr>
            <w:tcW w:w="1558" w:type="dxa"/>
            <w:vAlign w:val="center"/>
          </w:tcPr>
          <w:p w14:paraId="574817B8"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88.3% (n=77)</w:t>
            </w:r>
          </w:p>
        </w:tc>
        <w:tc>
          <w:tcPr>
            <w:tcW w:w="1558" w:type="dxa"/>
            <w:vAlign w:val="center"/>
          </w:tcPr>
          <w:p w14:paraId="03C2CA02"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82.5% (n=63)</w:t>
            </w:r>
          </w:p>
        </w:tc>
        <w:tc>
          <w:tcPr>
            <w:tcW w:w="1559" w:type="dxa"/>
            <w:vAlign w:val="center"/>
          </w:tcPr>
          <w:p w14:paraId="62CC723C"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86.8% (n=68)</w:t>
            </w:r>
          </w:p>
        </w:tc>
        <w:tc>
          <w:tcPr>
            <w:tcW w:w="1744" w:type="dxa"/>
            <w:vAlign w:val="center"/>
          </w:tcPr>
          <w:p w14:paraId="58475AE3"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88.5% (n=312)</w:t>
            </w:r>
          </w:p>
        </w:tc>
      </w:tr>
      <w:tr w:rsidR="009722A3" w:rsidRPr="00880598" w14:paraId="333215CE" w14:textId="77777777" w:rsidTr="00267F31">
        <w:tc>
          <w:tcPr>
            <w:tcW w:w="1435" w:type="dxa"/>
            <w:vAlign w:val="center"/>
          </w:tcPr>
          <w:p w14:paraId="138AD203" w14:textId="77777777" w:rsidR="009722A3" w:rsidRPr="00880598" w:rsidRDefault="009722A3" w:rsidP="00267F31">
            <w:pPr>
              <w:rPr>
                <w:rFonts w:ascii="Times New Roman" w:hAnsi="Times New Roman" w:cs="Times New Roman"/>
                <w:b/>
                <w:sz w:val="24"/>
                <w:szCs w:val="24"/>
              </w:rPr>
            </w:pPr>
            <w:r w:rsidRPr="00880598">
              <w:rPr>
                <w:rFonts w:ascii="Times New Roman" w:hAnsi="Times New Roman" w:cs="Times New Roman"/>
                <w:b/>
                <w:sz w:val="24"/>
                <w:szCs w:val="24"/>
              </w:rPr>
              <w:t>Treatment arm</w:t>
            </w:r>
            <w:r>
              <w:rPr>
                <w:rFonts w:ascii="Times New Roman" w:hAnsi="Times New Roman" w:cs="Times New Roman"/>
                <w:b/>
                <w:sz w:val="24"/>
                <w:szCs w:val="24"/>
                <w:vertAlign w:val="superscript"/>
              </w:rPr>
              <w:t>c</w:t>
            </w:r>
          </w:p>
        </w:tc>
        <w:tc>
          <w:tcPr>
            <w:tcW w:w="1681" w:type="dxa"/>
            <w:vAlign w:val="center"/>
          </w:tcPr>
          <w:p w14:paraId="4FA7701E"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48.5% (n=103)</w:t>
            </w:r>
          </w:p>
        </w:tc>
        <w:tc>
          <w:tcPr>
            <w:tcW w:w="1558" w:type="dxa"/>
            <w:vAlign w:val="center"/>
          </w:tcPr>
          <w:p w14:paraId="6584FD1F"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55.3% (n=76)</w:t>
            </w:r>
          </w:p>
        </w:tc>
        <w:tc>
          <w:tcPr>
            <w:tcW w:w="1558" w:type="dxa"/>
            <w:vAlign w:val="center"/>
          </w:tcPr>
          <w:p w14:paraId="39EF8061"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54.0% (n=63)</w:t>
            </w:r>
          </w:p>
        </w:tc>
        <w:tc>
          <w:tcPr>
            <w:tcW w:w="1559" w:type="dxa"/>
            <w:vAlign w:val="center"/>
          </w:tcPr>
          <w:p w14:paraId="341CD537"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45.6% (n=68)</w:t>
            </w:r>
          </w:p>
        </w:tc>
        <w:tc>
          <w:tcPr>
            <w:tcW w:w="1744" w:type="dxa"/>
            <w:vAlign w:val="center"/>
          </w:tcPr>
          <w:p w14:paraId="512C7FDD" w14:textId="77777777" w:rsidR="009722A3" w:rsidRPr="00880598" w:rsidRDefault="009722A3" w:rsidP="00267F31">
            <w:pPr>
              <w:jc w:val="center"/>
              <w:rPr>
                <w:rFonts w:ascii="Times New Roman" w:hAnsi="Times New Roman" w:cs="Times New Roman"/>
                <w:sz w:val="24"/>
                <w:szCs w:val="24"/>
              </w:rPr>
            </w:pPr>
            <w:r w:rsidRPr="00880598">
              <w:rPr>
                <w:rFonts w:ascii="Times New Roman" w:hAnsi="Times New Roman" w:cs="Times New Roman"/>
                <w:sz w:val="24"/>
                <w:szCs w:val="24"/>
              </w:rPr>
              <w:t>50.6% (n=310)</w:t>
            </w:r>
          </w:p>
        </w:tc>
      </w:tr>
    </w:tbl>
    <w:p w14:paraId="237B557B" w14:textId="77777777" w:rsidR="009722A3" w:rsidRPr="00170E87" w:rsidRDefault="009722A3" w:rsidP="009722A3">
      <w:pPr>
        <w:spacing w:after="0"/>
        <w:rPr>
          <w:rFonts w:ascii="Times New Roman" w:hAnsi="Times New Roman" w:cs="Times New Roman"/>
          <w:sz w:val="20"/>
          <w:szCs w:val="24"/>
        </w:rPr>
      </w:pPr>
      <w:r w:rsidRPr="00170E87">
        <w:rPr>
          <w:rFonts w:ascii="Times New Roman" w:hAnsi="Times New Roman" w:cs="Times New Roman"/>
          <w:sz w:val="20"/>
          <w:szCs w:val="24"/>
          <w:vertAlign w:val="superscript"/>
        </w:rPr>
        <w:t>a</w:t>
      </w:r>
      <w:r w:rsidRPr="00170E87">
        <w:rPr>
          <w:rFonts w:ascii="Times New Roman" w:hAnsi="Times New Roman" w:cs="Times New Roman"/>
          <w:sz w:val="20"/>
          <w:szCs w:val="24"/>
        </w:rPr>
        <w:t>Descriptive statistics shown for continuous variable age are mean (standard deviation; minimum-maximum; sample size).</w:t>
      </w:r>
      <w:r w:rsidR="00B5181D">
        <w:rPr>
          <w:rFonts w:ascii="Times New Roman" w:hAnsi="Times New Roman" w:cs="Times New Roman"/>
          <w:sz w:val="20"/>
          <w:szCs w:val="24"/>
        </w:rPr>
        <w:t xml:space="preserve"> </w:t>
      </w:r>
      <w:r w:rsidRPr="00170E87">
        <w:rPr>
          <w:rFonts w:ascii="Times New Roman" w:hAnsi="Times New Roman" w:cs="Times New Roman"/>
          <w:sz w:val="20"/>
          <w:szCs w:val="24"/>
          <w:vertAlign w:val="superscript"/>
        </w:rPr>
        <w:t>b</w:t>
      </w:r>
      <w:r w:rsidRPr="00170E87">
        <w:rPr>
          <w:rFonts w:ascii="Times New Roman" w:hAnsi="Times New Roman" w:cs="Times New Roman"/>
          <w:sz w:val="20"/>
          <w:szCs w:val="24"/>
        </w:rPr>
        <w:t>Descriptive statistics for binary variable female are proportion of the group that are female and total sample size (male and female).</w:t>
      </w:r>
      <w:r w:rsidR="00B5181D">
        <w:rPr>
          <w:rFonts w:ascii="Times New Roman" w:hAnsi="Times New Roman" w:cs="Times New Roman"/>
          <w:sz w:val="20"/>
          <w:szCs w:val="24"/>
        </w:rPr>
        <w:t xml:space="preserve"> </w:t>
      </w:r>
      <w:r w:rsidRPr="00170E87">
        <w:rPr>
          <w:rFonts w:ascii="Times New Roman" w:hAnsi="Times New Roman" w:cs="Times New Roman"/>
          <w:sz w:val="20"/>
          <w:szCs w:val="24"/>
          <w:vertAlign w:val="superscript"/>
        </w:rPr>
        <w:t>c</w:t>
      </w:r>
      <w:r w:rsidRPr="00170E87">
        <w:rPr>
          <w:rFonts w:ascii="Times New Roman" w:hAnsi="Times New Roman" w:cs="Times New Roman"/>
          <w:sz w:val="20"/>
          <w:szCs w:val="24"/>
        </w:rPr>
        <w:t>Descriptive statistics for binary variable treatment arm are proportion in treatment arm (receiving d-penicillamine).</w:t>
      </w:r>
    </w:p>
    <w:p w14:paraId="4D8B1AC3" w14:textId="77777777" w:rsidR="006C0F65" w:rsidRPr="00880598" w:rsidRDefault="006C0F65" w:rsidP="006C0F65">
      <w:pPr>
        <w:spacing w:after="0"/>
        <w:rPr>
          <w:rFonts w:ascii="Times New Roman" w:hAnsi="Times New Roman" w:cs="Times New Roman"/>
          <w:sz w:val="24"/>
          <w:szCs w:val="24"/>
        </w:rPr>
      </w:pPr>
      <w:r w:rsidRPr="00880598">
        <w:rPr>
          <w:rFonts w:ascii="Times New Roman" w:hAnsi="Times New Roman" w:cs="Times New Roman"/>
          <w:noProof/>
          <w:sz w:val="24"/>
          <w:szCs w:val="24"/>
        </w:rPr>
        <w:lastRenderedPageBreak/>
        <w:drawing>
          <wp:inline distT="0" distB="0" distL="0" distR="0" wp14:anchorId="619BDDCA" wp14:editId="3398787B">
            <wp:extent cx="4517679" cy="32988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259" cy="3316821"/>
                    </a:xfrm>
                    <a:prstGeom prst="rect">
                      <a:avLst/>
                    </a:prstGeom>
                    <a:noFill/>
                    <a:ln>
                      <a:noFill/>
                    </a:ln>
                  </pic:spPr>
                </pic:pic>
              </a:graphicData>
            </a:graphic>
          </wp:inline>
        </w:drawing>
      </w:r>
      <w:r w:rsidRPr="00880598">
        <w:rPr>
          <w:rFonts w:ascii="Times New Roman" w:hAnsi="Times New Roman" w:cs="Times New Roman"/>
          <w:noProof/>
          <w:sz w:val="24"/>
          <w:szCs w:val="24"/>
        </w:rPr>
        <w:drawing>
          <wp:inline distT="0" distB="0" distL="0" distR="0" wp14:anchorId="7B52E850" wp14:editId="36A738E7">
            <wp:extent cx="3334900" cy="243519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654" cy="2453266"/>
                    </a:xfrm>
                    <a:prstGeom prst="rect">
                      <a:avLst/>
                    </a:prstGeom>
                    <a:noFill/>
                    <a:ln>
                      <a:noFill/>
                    </a:ln>
                  </pic:spPr>
                </pic:pic>
              </a:graphicData>
            </a:graphic>
          </wp:inline>
        </w:drawing>
      </w:r>
      <w:r w:rsidRPr="00880598">
        <w:rPr>
          <w:rFonts w:ascii="Times New Roman" w:hAnsi="Times New Roman" w:cs="Times New Roman"/>
          <w:noProof/>
          <w:sz w:val="24"/>
          <w:szCs w:val="24"/>
        </w:rPr>
        <w:drawing>
          <wp:inline distT="0" distB="0" distL="0" distR="0" wp14:anchorId="483EC8DD" wp14:editId="2BACA30C">
            <wp:extent cx="3311091" cy="2417806"/>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51" cy="2448300"/>
                    </a:xfrm>
                    <a:prstGeom prst="rect">
                      <a:avLst/>
                    </a:prstGeom>
                    <a:noFill/>
                    <a:ln>
                      <a:noFill/>
                    </a:ln>
                  </pic:spPr>
                </pic:pic>
              </a:graphicData>
            </a:graphic>
          </wp:inline>
        </w:drawing>
      </w:r>
    </w:p>
    <w:p w14:paraId="6C8E84D4" w14:textId="77777777" w:rsidR="001E18AF" w:rsidRDefault="006C0F65" w:rsidP="009722A3">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lastRenderedPageBreak/>
        <w:t xml:space="preserve">Question </w:t>
      </w:r>
      <w:commentRangeStart w:id="3"/>
      <w:r w:rsidRPr="00880598">
        <w:rPr>
          <w:rFonts w:ascii="Times New Roman" w:hAnsi="Times New Roman" w:cs="Times New Roman"/>
          <w:b/>
          <w:sz w:val="24"/>
          <w:szCs w:val="24"/>
        </w:rPr>
        <w:t>2</w:t>
      </w:r>
      <w:commentRangeEnd w:id="3"/>
      <w:r w:rsidR="00267F31">
        <w:rPr>
          <w:rStyle w:val="CommentReference"/>
        </w:rPr>
        <w:commentReference w:id="3"/>
      </w:r>
      <w:r w:rsidRPr="00880598">
        <w:rPr>
          <w:rFonts w:ascii="Times New Roman" w:hAnsi="Times New Roman" w:cs="Times New Roman"/>
          <w:b/>
          <w:sz w:val="24"/>
          <w:szCs w:val="24"/>
        </w:rPr>
        <w:t>.</w:t>
      </w:r>
      <w:r w:rsidR="001E18AF">
        <w:rPr>
          <w:rFonts w:ascii="Times New Roman" w:hAnsi="Times New Roman" w:cs="Times New Roman"/>
          <w:b/>
          <w:sz w:val="24"/>
          <w:szCs w:val="24"/>
        </w:rPr>
        <w:t xml:space="preserve">  </w:t>
      </w:r>
    </w:p>
    <w:p w14:paraId="328A98A0" w14:textId="77777777" w:rsidR="00C25216" w:rsidRPr="001E18AF" w:rsidRDefault="009722A3" w:rsidP="009722A3">
      <w:pPr>
        <w:spacing w:after="0" w:line="240" w:lineRule="auto"/>
        <w:rPr>
          <w:rFonts w:ascii="Times New Roman" w:hAnsi="Times New Roman" w:cs="Times New Roman"/>
          <w:b/>
          <w:sz w:val="24"/>
          <w:szCs w:val="24"/>
        </w:rPr>
      </w:pPr>
      <w:r w:rsidRPr="009722A3">
        <w:rPr>
          <w:rFonts w:ascii="Times New Roman" w:hAnsi="Times New Roman" w:cs="Times New Roman"/>
          <w:sz w:val="24"/>
          <w:szCs w:val="24"/>
        </w:rPr>
        <w:t>We are not able to use logistic regression to investigate associations between mortality and various covariates because we have censored data. Not all subjects were observed to die. Due to this censoring, time to death or censoring could confound the potential association between bilirubin level and mortality if it is associated with both of them. Time could be a confounder if it causes both increased bilirubin and increased likelihood of death. If we ignore the group with censored data and those individuals went on to live many years, we would underestimate the probability of survival.</w:t>
      </w:r>
    </w:p>
    <w:p w14:paraId="0A0E0347" w14:textId="77777777" w:rsidR="006C0F65" w:rsidRPr="00880598" w:rsidRDefault="006C0F65" w:rsidP="006C0F65">
      <w:pPr>
        <w:spacing w:after="0" w:line="240" w:lineRule="auto"/>
        <w:rPr>
          <w:rFonts w:ascii="Times New Roman" w:hAnsi="Times New Roman" w:cs="Times New Roman"/>
          <w:sz w:val="24"/>
          <w:szCs w:val="24"/>
        </w:rPr>
      </w:pPr>
    </w:p>
    <w:p w14:paraId="56A06367" w14:textId="77777777" w:rsidR="006C0F65" w:rsidRPr="00880598" w:rsidRDefault="006C0F65"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 xml:space="preserve">Question </w:t>
      </w:r>
      <w:commentRangeStart w:id="4"/>
      <w:r w:rsidRPr="00880598">
        <w:rPr>
          <w:rFonts w:ascii="Times New Roman" w:hAnsi="Times New Roman" w:cs="Times New Roman"/>
          <w:b/>
          <w:sz w:val="24"/>
          <w:szCs w:val="24"/>
        </w:rPr>
        <w:t>3a</w:t>
      </w:r>
      <w:commentRangeEnd w:id="4"/>
      <w:r w:rsidR="00267F31">
        <w:rPr>
          <w:rStyle w:val="CommentReference"/>
        </w:rPr>
        <w:commentReference w:id="4"/>
      </w:r>
      <w:r w:rsidRPr="00880598">
        <w:rPr>
          <w:rFonts w:ascii="Times New Roman" w:hAnsi="Times New Roman" w:cs="Times New Roman"/>
          <w:b/>
          <w:sz w:val="24"/>
          <w:szCs w:val="24"/>
        </w:rPr>
        <w:t>.</w:t>
      </w:r>
    </w:p>
    <w:p w14:paraId="6212517D" w14:textId="77777777" w:rsidR="006C0F65" w:rsidRPr="00880598" w:rsidRDefault="006C0F65" w:rsidP="006C0F65">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Methods</w:t>
      </w:r>
      <w:r w:rsidRPr="00880598">
        <w:rPr>
          <w:rFonts w:ascii="Times New Roman" w:hAnsi="Times New Roman" w:cs="Times New Roman"/>
          <w:sz w:val="24"/>
          <w:szCs w:val="24"/>
        </w:rPr>
        <w:t>: Proportional hazards regression with robust standard errors was used to evaluate the instantaneous risk (hazard) of death by any cause over the entire observation period across groups defined by serum bilirubin level. The two-sided p-value and 95% confidence interval are Wald-based estimates. All subjects were included in the analysis.</w:t>
      </w:r>
    </w:p>
    <w:p w14:paraId="73CD17E7" w14:textId="77777777" w:rsidR="006C0F65" w:rsidRPr="00880598" w:rsidRDefault="006C0F65" w:rsidP="006C0F65">
      <w:pPr>
        <w:spacing w:after="0" w:line="240" w:lineRule="auto"/>
        <w:rPr>
          <w:rFonts w:ascii="Times New Roman" w:hAnsi="Times New Roman" w:cs="Times New Roman"/>
          <w:sz w:val="24"/>
          <w:szCs w:val="24"/>
        </w:rPr>
      </w:pPr>
    </w:p>
    <w:p w14:paraId="1E1ADD8D" w14:textId="77777777" w:rsidR="006C0F65" w:rsidRPr="00880598" w:rsidRDefault="006C0F65" w:rsidP="006C0F65">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Results</w:t>
      </w:r>
      <w:r w:rsidRPr="00880598">
        <w:rPr>
          <w:rFonts w:ascii="Times New Roman" w:hAnsi="Times New Roman" w:cs="Times New Roman"/>
          <w:sz w:val="24"/>
          <w:szCs w:val="24"/>
        </w:rPr>
        <w:t>: 418 participants were included in this analysis and a total of 161 deaths were observed. For each difference of 1 in bilirubin level, we estimate the risk of death is 1.152 times higher (15.2% higher) in the group with the higher bilirubin. Based on the 95% confidence interval, this hazard ratio would not be considered unusual if the true risk of death were between 1.121 and 1.185 times higher among those with a 1 higher bilirubin. A highly statistically significant p-value (P&lt;0.0005) suggests that we can reject the null hypothesis of no increased risk of death across groups increasing in bilirubin for the alternative hypothesis of a higher instantaneous risk of death in those with higher bilirubin levels.</w:t>
      </w:r>
    </w:p>
    <w:p w14:paraId="07B21B9B" w14:textId="77777777" w:rsidR="006C0F65" w:rsidRPr="00880598" w:rsidRDefault="006C0F65" w:rsidP="006C0F65">
      <w:pPr>
        <w:spacing w:after="0" w:line="240" w:lineRule="auto"/>
        <w:rPr>
          <w:rFonts w:ascii="Times New Roman" w:hAnsi="Times New Roman" w:cs="Times New Roman"/>
          <w:sz w:val="24"/>
          <w:szCs w:val="24"/>
        </w:rPr>
      </w:pPr>
    </w:p>
    <w:p w14:paraId="56D9B152" w14:textId="77777777" w:rsidR="006C0F65" w:rsidRPr="00880598" w:rsidRDefault="006C0F65"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 xml:space="preserve">Question 3b. </w:t>
      </w:r>
    </w:p>
    <w:p w14:paraId="7874707A" w14:textId="77777777" w:rsidR="00C6347E" w:rsidRPr="00880598" w:rsidRDefault="000C3DC9">
      <w:pPr>
        <w:rPr>
          <w:rFonts w:ascii="Times New Roman" w:hAnsi="Times New Roman" w:cs="Times New Roman"/>
          <w:sz w:val="24"/>
          <w:szCs w:val="24"/>
        </w:rPr>
      </w:pPr>
      <w:r w:rsidRPr="00880598">
        <w:rPr>
          <w:rFonts w:ascii="Times New Roman" w:hAnsi="Times New Roman" w:cs="Times New Roman"/>
          <w:sz w:val="24"/>
          <w:szCs w:val="24"/>
        </w:rPr>
        <w:t>See graph in problem 6.</w:t>
      </w:r>
    </w:p>
    <w:p w14:paraId="260BE26C" w14:textId="77777777" w:rsidR="006B771C" w:rsidRPr="001E18AF" w:rsidRDefault="006B771C"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 xml:space="preserve">Question </w:t>
      </w:r>
      <w:commentRangeStart w:id="5"/>
      <w:r w:rsidRPr="00880598">
        <w:rPr>
          <w:rFonts w:ascii="Times New Roman" w:hAnsi="Times New Roman" w:cs="Times New Roman"/>
          <w:b/>
          <w:sz w:val="24"/>
          <w:szCs w:val="24"/>
        </w:rPr>
        <w:t>4a</w:t>
      </w:r>
      <w:commentRangeEnd w:id="5"/>
      <w:r w:rsidR="00267F31">
        <w:rPr>
          <w:rStyle w:val="CommentReference"/>
        </w:rPr>
        <w:commentReference w:id="5"/>
      </w:r>
      <w:r w:rsidRPr="00880598">
        <w:rPr>
          <w:rFonts w:ascii="Times New Roman" w:hAnsi="Times New Roman" w:cs="Times New Roman"/>
          <w:b/>
          <w:sz w:val="24"/>
          <w:szCs w:val="24"/>
        </w:rPr>
        <w:t>.</w:t>
      </w:r>
      <w:r w:rsidR="001E18AF">
        <w:rPr>
          <w:rFonts w:ascii="Times New Roman" w:hAnsi="Times New Roman" w:cs="Times New Roman"/>
          <w:b/>
          <w:sz w:val="24"/>
          <w:szCs w:val="24"/>
        </w:rPr>
        <w:t xml:space="preserve">  </w:t>
      </w:r>
      <w:r w:rsidR="000C3DC9" w:rsidRPr="00880598">
        <w:rPr>
          <w:rFonts w:ascii="Times New Roman" w:hAnsi="Times New Roman" w:cs="Times New Roman"/>
          <w:sz w:val="24"/>
          <w:szCs w:val="24"/>
        </w:rPr>
        <w:t xml:space="preserve">We might have preferred a log-transformed bilirubin as a predictor a priori on a scientific basis, because as a </w:t>
      </w:r>
      <w:r w:rsidR="00D44A39" w:rsidRPr="00880598">
        <w:rPr>
          <w:rFonts w:ascii="Times New Roman" w:hAnsi="Times New Roman" w:cs="Times New Roman"/>
          <w:sz w:val="24"/>
          <w:szCs w:val="24"/>
        </w:rPr>
        <w:t>biologic marker we might expect it to be relevant on a multiplicative scale.</w:t>
      </w:r>
    </w:p>
    <w:p w14:paraId="30FA0481" w14:textId="77777777" w:rsidR="00D44A39" w:rsidRPr="00880598" w:rsidRDefault="00D44A39" w:rsidP="006C0F65">
      <w:pPr>
        <w:spacing w:after="0" w:line="240" w:lineRule="auto"/>
        <w:rPr>
          <w:rFonts w:ascii="Times New Roman" w:hAnsi="Times New Roman" w:cs="Times New Roman"/>
          <w:sz w:val="24"/>
          <w:szCs w:val="24"/>
        </w:rPr>
      </w:pPr>
    </w:p>
    <w:p w14:paraId="028B9658" w14:textId="77777777" w:rsidR="006C0F65" w:rsidRPr="00880598" w:rsidRDefault="006C0F65"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Question 4</w:t>
      </w:r>
      <w:r w:rsidR="006B771C" w:rsidRPr="00880598">
        <w:rPr>
          <w:rFonts w:ascii="Times New Roman" w:hAnsi="Times New Roman" w:cs="Times New Roman"/>
          <w:b/>
          <w:sz w:val="24"/>
          <w:szCs w:val="24"/>
        </w:rPr>
        <w:t>b</w:t>
      </w:r>
      <w:r w:rsidRPr="00880598">
        <w:rPr>
          <w:rFonts w:ascii="Times New Roman" w:hAnsi="Times New Roman" w:cs="Times New Roman"/>
          <w:b/>
          <w:sz w:val="24"/>
          <w:szCs w:val="24"/>
        </w:rPr>
        <w:t>.</w:t>
      </w:r>
    </w:p>
    <w:p w14:paraId="40135A67" w14:textId="77777777" w:rsidR="006C0F65" w:rsidRPr="00880598" w:rsidRDefault="006C0F65" w:rsidP="006C0F65">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Methods</w:t>
      </w:r>
      <w:r w:rsidRPr="00880598">
        <w:rPr>
          <w:rFonts w:ascii="Times New Roman" w:hAnsi="Times New Roman" w:cs="Times New Roman"/>
          <w:sz w:val="24"/>
          <w:szCs w:val="24"/>
        </w:rPr>
        <w:t>: Proportional hazards regression with robust standard errors was used to evaluate the instantaneous risk (hazard) of death by any cause over the entire observation period across groups defined by serum bilirubin level, using base 2 log-transformed serum bilirubin as the predictor. The two-sided p-value and 95% confidence interval are Wald-based estimates. Subjects missing bilirubin level were excluded from analysis.</w:t>
      </w:r>
    </w:p>
    <w:p w14:paraId="417FF03F" w14:textId="77777777" w:rsidR="006C0F65" w:rsidRPr="00880598" w:rsidRDefault="006C0F65" w:rsidP="006C0F65">
      <w:pPr>
        <w:spacing w:after="0" w:line="240" w:lineRule="auto"/>
        <w:rPr>
          <w:rFonts w:ascii="Times New Roman" w:hAnsi="Times New Roman" w:cs="Times New Roman"/>
          <w:sz w:val="24"/>
          <w:szCs w:val="24"/>
        </w:rPr>
      </w:pPr>
    </w:p>
    <w:p w14:paraId="64306EA9" w14:textId="77777777" w:rsidR="006C0F65" w:rsidRPr="00880598" w:rsidRDefault="006C0F65" w:rsidP="006C0F65">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Results</w:t>
      </w:r>
      <w:r w:rsidRPr="00880598">
        <w:rPr>
          <w:rFonts w:ascii="Times New Roman" w:hAnsi="Times New Roman" w:cs="Times New Roman"/>
          <w:sz w:val="24"/>
          <w:szCs w:val="24"/>
        </w:rPr>
        <w:t>: 418 participants were included in this analysis and a total of 161 deaths were observed. For each 2-fold increase in bilirubin level, we estimate the risk of death is 1.984 times higher (98.4% higher) in the group with the higher bilirubin. Based on the 95% confidence interval, this hazard ratio would not be considered unusual if the true risk of death were between 1.781 and 2.212 times higher in a group with a 2-fold higher bilirubin than another group. A highly statistically significant p-value (P&lt;0.0005) suggests that we can reject the null hypothesis of no increased risk of death across groups increasing in bilirubin for the alternative hypothesis of a higher instantaneous risk of death in those with higher bilirubin levels.</w:t>
      </w:r>
    </w:p>
    <w:p w14:paraId="31123811" w14:textId="77777777" w:rsidR="006C0F65" w:rsidRPr="00880598" w:rsidRDefault="006C0F65" w:rsidP="006C0F65">
      <w:pPr>
        <w:spacing w:after="0" w:line="240" w:lineRule="auto"/>
        <w:rPr>
          <w:rFonts w:ascii="Times New Roman" w:hAnsi="Times New Roman" w:cs="Times New Roman"/>
          <w:sz w:val="24"/>
          <w:szCs w:val="24"/>
        </w:rPr>
      </w:pPr>
    </w:p>
    <w:p w14:paraId="22FDA285" w14:textId="77777777" w:rsidR="006C0F65" w:rsidRPr="00880598" w:rsidRDefault="006B771C"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lastRenderedPageBreak/>
        <w:t>Question 4c</w:t>
      </w:r>
      <w:r w:rsidR="006C0F65" w:rsidRPr="00880598">
        <w:rPr>
          <w:rFonts w:ascii="Times New Roman" w:hAnsi="Times New Roman" w:cs="Times New Roman"/>
          <w:b/>
          <w:sz w:val="24"/>
          <w:szCs w:val="24"/>
        </w:rPr>
        <w:t>.</w:t>
      </w:r>
    </w:p>
    <w:p w14:paraId="77508096" w14:textId="77777777" w:rsidR="006C0F65" w:rsidRPr="00880598" w:rsidRDefault="000C3DC9">
      <w:pPr>
        <w:rPr>
          <w:rFonts w:ascii="Times New Roman" w:hAnsi="Times New Roman" w:cs="Times New Roman"/>
          <w:sz w:val="24"/>
          <w:szCs w:val="24"/>
        </w:rPr>
      </w:pPr>
      <w:r w:rsidRPr="00880598">
        <w:rPr>
          <w:rFonts w:ascii="Times New Roman" w:hAnsi="Times New Roman" w:cs="Times New Roman"/>
          <w:sz w:val="24"/>
          <w:szCs w:val="24"/>
        </w:rPr>
        <w:t>See graph in problem 6.</w:t>
      </w:r>
    </w:p>
    <w:p w14:paraId="6661E424" w14:textId="77777777" w:rsidR="00065DB9" w:rsidRPr="00880598" w:rsidRDefault="006C0F65" w:rsidP="00065DB9">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 xml:space="preserve">Question </w:t>
      </w:r>
      <w:commentRangeStart w:id="6"/>
      <w:r w:rsidRPr="00880598">
        <w:rPr>
          <w:rFonts w:ascii="Times New Roman" w:hAnsi="Times New Roman" w:cs="Times New Roman"/>
          <w:b/>
          <w:sz w:val="24"/>
          <w:szCs w:val="24"/>
        </w:rPr>
        <w:t>5</w:t>
      </w:r>
      <w:r w:rsidR="00767AA1" w:rsidRPr="00880598">
        <w:rPr>
          <w:rFonts w:ascii="Times New Roman" w:hAnsi="Times New Roman" w:cs="Times New Roman"/>
          <w:b/>
          <w:sz w:val="24"/>
          <w:szCs w:val="24"/>
        </w:rPr>
        <w:t>a</w:t>
      </w:r>
      <w:commentRangeEnd w:id="6"/>
      <w:r w:rsidR="00267F31">
        <w:rPr>
          <w:rStyle w:val="CommentReference"/>
        </w:rPr>
        <w:commentReference w:id="6"/>
      </w:r>
      <w:r w:rsidRPr="00880598">
        <w:rPr>
          <w:rFonts w:ascii="Times New Roman" w:hAnsi="Times New Roman" w:cs="Times New Roman"/>
          <w:b/>
          <w:sz w:val="24"/>
          <w:szCs w:val="24"/>
        </w:rPr>
        <w:t>.</w:t>
      </w:r>
      <w:r w:rsidR="00065DB9" w:rsidRPr="00880598">
        <w:rPr>
          <w:rFonts w:ascii="Times New Roman" w:hAnsi="Times New Roman" w:cs="Times New Roman"/>
          <w:b/>
          <w:sz w:val="24"/>
          <w:szCs w:val="24"/>
        </w:rPr>
        <w:tab/>
      </w:r>
    </w:p>
    <w:p w14:paraId="547A1769" w14:textId="77777777" w:rsidR="008322F8" w:rsidRDefault="008322F8" w:rsidP="006C0F65">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Methods</w:t>
      </w:r>
      <w:r w:rsidRPr="00880598">
        <w:rPr>
          <w:rFonts w:ascii="Times New Roman" w:hAnsi="Times New Roman" w:cs="Times New Roman"/>
          <w:sz w:val="24"/>
          <w:szCs w:val="24"/>
        </w:rPr>
        <w:t>:</w:t>
      </w:r>
      <w:r w:rsidR="006D0617">
        <w:rPr>
          <w:rFonts w:ascii="Times New Roman" w:hAnsi="Times New Roman" w:cs="Times New Roman"/>
          <w:sz w:val="24"/>
          <w:szCs w:val="24"/>
        </w:rPr>
        <w:t xml:space="preserve"> Proportional hazards regression </w:t>
      </w:r>
      <w:r w:rsidR="00A22276">
        <w:rPr>
          <w:rFonts w:ascii="Times New Roman" w:hAnsi="Times New Roman" w:cs="Times New Roman"/>
          <w:sz w:val="24"/>
          <w:szCs w:val="24"/>
        </w:rPr>
        <w:t>was used to compare the</w:t>
      </w:r>
      <w:r w:rsidR="006D0617">
        <w:rPr>
          <w:rFonts w:ascii="Times New Roman" w:hAnsi="Times New Roman" w:cs="Times New Roman"/>
          <w:sz w:val="24"/>
          <w:szCs w:val="24"/>
        </w:rPr>
        <w:t xml:space="preserve"> distributio</w:t>
      </w:r>
      <w:r w:rsidR="00A22276">
        <w:rPr>
          <w:rFonts w:ascii="Times New Roman" w:hAnsi="Times New Roman" w:cs="Times New Roman"/>
          <w:sz w:val="24"/>
          <w:szCs w:val="24"/>
        </w:rPr>
        <w:t>ns of time to death</w:t>
      </w:r>
      <w:r w:rsidR="006D0617">
        <w:rPr>
          <w:rFonts w:ascii="Times New Roman" w:hAnsi="Times New Roman" w:cs="Times New Roman"/>
          <w:sz w:val="24"/>
          <w:szCs w:val="24"/>
        </w:rPr>
        <w:t xml:space="preserve"> across groups defined by bilirubin level</w:t>
      </w:r>
      <w:r w:rsidR="00A22276">
        <w:rPr>
          <w:rFonts w:ascii="Times New Roman" w:hAnsi="Times New Roman" w:cs="Times New Roman"/>
          <w:sz w:val="24"/>
          <w:szCs w:val="24"/>
        </w:rPr>
        <w:t>. Bilirubin was included in this model as both an untransformed variable and as a base 2 logarithmically-transformed variable.</w:t>
      </w:r>
      <w:r w:rsidR="000947CD">
        <w:rPr>
          <w:rFonts w:ascii="Times New Roman" w:hAnsi="Times New Roman" w:cs="Times New Roman"/>
          <w:sz w:val="24"/>
          <w:szCs w:val="24"/>
        </w:rPr>
        <w:t xml:space="preserve"> All subjects had information on baseline bilirubin levels and were included.</w:t>
      </w:r>
      <w:r w:rsidR="006D0617">
        <w:rPr>
          <w:rFonts w:ascii="Times New Roman" w:hAnsi="Times New Roman" w:cs="Times New Roman"/>
          <w:sz w:val="24"/>
          <w:szCs w:val="24"/>
        </w:rPr>
        <w:t xml:space="preserve"> </w:t>
      </w:r>
      <w:r w:rsidR="00A22276">
        <w:rPr>
          <w:rFonts w:ascii="Times New Roman" w:hAnsi="Times New Roman" w:cs="Times New Roman"/>
          <w:sz w:val="24"/>
          <w:szCs w:val="24"/>
        </w:rPr>
        <w:t>Standard error estimates were based on the Huber-White sandwich estimator and the two-sided p-value and 95% confidence intervals were based on the Wald statistic for both tests. The null hypothesis that β</w:t>
      </w:r>
      <w:r w:rsidR="00A22276" w:rsidRPr="00A22276">
        <w:rPr>
          <w:rFonts w:ascii="Times New Roman" w:hAnsi="Times New Roman" w:cs="Times New Roman"/>
          <w:sz w:val="24"/>
          <w:szCs w:val="24"/>
          <w:vertAlign w:val="subscript"/>
        </w:rPr>
        <w:t>1</w:t>
      </w:r>
      <w:r w:rsidR="00A22276">
        <w:rPr>
          <w:rFonts w:ascii="Times New Roman" w:hAnsi="Times New Roman" w:cs="Times New Roman"/>
          <w:sz w:val="24"/>
          <w:szCs w:val="24"/>
        </w:rPr>
        <w:t>=β</w:t>
      </w:r>
      <w:r w:rsidR="00A22276" w:rsidRPr="00A22276">
        <w:rPr>
          <w:rFonts w:ascii="Times New Roman" w:hAnsi="Times New Roman" w:cs="Times New Roman"/>
          <w:sz w:val="24"/>
          <w:szCs w:val="24"/>
          <w:vertAlign w:val="subscript"/>
        </w:rPr>
        <w:t>2</w:t>
      </w:r>
      <w:r w:rsidR="00A22276">
        <w:rPr>
          <w:rFonts w:ascii="Times New Roman" w:hAnsi="Times New Roman" w:cs="Times New Roman"/>
          <w:sz w:val="24"/>
          <w:szCs w:val="24"/>
        </w:rPr>
        <w:t>=0 was tested</w:t>
      </w:r>
      <w:r w:rsidR="00BA7630">
        <w:rPr>
          <w:rFonts w:ascii="Times New Roman" w:hAnsi="Times New Roman" w:cs="Times New Roman"/>
          <w:sz w:val="24"/>
          <w:szCs w:val="24"/>
        </w:rPr>
        <w:t xml:space="preserve">. The test for nonlinearity is of primary interest with the null hypothesis that the </w:t>
      </w:r>
      <w:r w:rsidR="00A22276">
        <w:rPr>
          <w:rFonts w:ascii="Times New Roman" w:hAnsi="Times New Roman" w:cs="Times New Roman"/>
          <w:sz w:val="24"/>
          <w:szCs w:val="24"/>
        </w:rPr>
        <w:t xml:space="preserve">coefficient of the logarithmically-transformed bilirubin </w:t>
      </w:r>
      <w:r w:rsidR="00BA7630">
        <w:rPr>
          <w:rFonts w:ascii="Times New Roman" w:hAnsi="Times New Roman" w:cs="Times New Roman"/>
          <w:sz w:val="24"/>
          <w:szCs w:val="24"/>
        </w:rPr>
        <w:t xml:space="preserve">is </w:t>
      </w:r>
      <w:r w:rsidR="00A22276">
        <w:rPr>
          <w:rFonts w:ascii="Times New Roman" w:hAnsi="Times New Roman" w:cs="Times New Roman"/>
          <w:sz w:val="24"/>
          <w:szCs w:val="24"/>
        </w:rPr>
        <w:t>equal</w:t>
      </w:r>
      <w:r w:rsidR="00BA7630">
        <w:rPr>
          <w:rFonts w:ascii="Times New Roman" w:hAnsi="Times New Roman" w:cs="Times New Roman"/>
          <w:sz w:val="24"/>
          <w:szCs w:val="24"/>
        </w:rPr>
        <w:t xml:space="preserve"> </w:t>
      </w:r>
      <w:r w:rsidR="00A22276">
        <w:rPr>
          <w:rFonts w:ascii="Times New Roman" w:hAnsi="Times New Roman" w:cs="Times New Roman"/>
          <w:sz w:val="24"/>
          <w:szCs w:val="24"/>
        </w:rPr>
        <w:t>to zero.</w:t>
      </w:r>
      <w:r w:rsidR="000947CD">
        <w:rPr>
          <w:rFonts w:ascii="Times New Roman" w:hAnsi="Times New Roman" w:cs="Times New Roman"/>
          <w:sz w:val="24"/>
          <w:szCs w:val="24"/>
        </w:rPr>
        <w:t xml:space="preserve"> </w:t>
      </w:r>
    </w:p>
    <w:p w14:paraId="6AE10B48" w14:textId="77777777" w:rsidR="000947CD" w:rsidRPr="00880598" w:rsidRDefault="000947CD" w:rsidP="006C0F65">
      <w:pPr>
        <w:spacing w:after="0" w:line="240" w:lineRule="auto"/>
        <w:rPr>
          <w:rFonts w:ascii="Times New Roman" w:hAnsi="Times New Roman" w:cs="Times New Roman"/>
          <w:sz w:val="24"/>
          <w:szCs w:val="24"/>
        </w:rPr>
      </w:pPr>
    </w:p>
    <w:p w14:paraId="567AB7D3" w14:textId="77777777" w:rsidR="00CB6C3C" w:rsidRPr="00B5181D" w:rsidRDefault="008322F8" w:rsidP="00465EA0">
      <w:pPr>
        <w:spacing w:after="0" w:line="240" w:lineRule="auto"/>
        <w:rPr>
          <w:rFonts w:ascii="Times New Roman" w:hAnsi="Times New Roman" w:cs="Times New Roman"/>
          <w:sz w:val="24"/>
          <w:szCs w:val="24"/>
        </w:rPr>
      </w:pPr>
      <w:r w:rsidRPr="00880598">
        <w:rPr>
          <w:rFonts w:ascii="Times New Roman" w:hAnsi="Times New Roman" w:cs="Times New Roman"/>
          <w:sz w:val="24"/>
          <w:szCs w:val="24"/>
          <w:u w:val="single"/>
        </w:rPr>
        <w:t>Results</w:t>
      </w:r>
      <w:r w:rsidRPr="00880598">
        <w:rPr>
          <w:rFonts w:ascii="Times New Roman" w:hAnsi="Times New Roman" w:cs="Times New Roman"/>
          <w:sz w:val="24"/>
          <w:szCs w:val="24"/>
        </w:rPr>
        <w:t>:</w:t>
      </w:r>
      <w:r w:rsidR="00A22276">
        <w:rPr>
          <w:rFonts w:ascii="Times New Roman" w:hAnsi="Times New Roman" w:cs="Times New Roman"/>
          <w:sz w:val="24"/>
          <w:szCs w:val="24"/>
        </w:rPr>
        <w:t xml:space="preserve"> 418 subjects were included in this analy</w:t>
      </w:r>
      <w:r w:rsidR="0091218B">
        <w:rPr>
          <w:rFonts w:ascii="Times New Roman" w:hAnsi="Times New Roman" w:cs="Times New Roman"/>
          <w:sz w:val="24"/>
          <w:szCs w:val="24"/>
        </w:rPr>
        <w:t>sis. There were 161 observed deaths during an average of 5.25 years of observation. The mean bilirubin level at baseline in the entire group was 3.22 mg/dL (standard deviation of 4.41 and range of 0.300 to 28.0 mg/dL).</w:t>
      </w:r>
      <w:r w:rsidR="000947CD">
        <w:rPr>
          <w:rFonts w:ascii="Times New Roman" w:hAnsi="Times New Roman" w:cs="Times New Roman"/>
          <w:sz w:val="24"/>
          <w:szCs w:val="24"/>
        </w:rPr>
        <w:t xml:space="preserve"> </w:t>
      </w:r>
      <w:r w:rsidR="00BA7630">
        <w:rPr>
          <w:rFonts w:ascii="Times New Roman" w:hAnsi="Times New Roman" w:cs="Times New Roman"/>
          <w:sz w:val="24"/>
          <w:szCs w:val="24"/>
        </w:rPr>
        <w:t>We find a statistically significant (p&lt;0.0005) association between bilirubin and instantaneous risk of death and thus reject the null hypothesis that both β</w:t>
      </w:r>
      <w:r w:rsidR="00BA7630" w:rsidRPr="00A22276">
        <w:rPr>
          <w:rFonts w:ascii="Times New Roman" w:hAnsi="Times New Roman" w:cs="Times New Roman"/>
          <w:sz w:val="24"/>
          <w:szCs w:val="24"/>
          <w:vertAlign w:val="subscript"/>
        </w:rPr>
        <w:t>1</w:t>
      </w:r>
      <w:r w:rsidR="00BA7630">
        <w:rPr>
          <w:rFonts w:ascii="Times New Roman" w:hAnsi="Times New Roman" w:cs="Times New Roman"/>
          <w:sz w:val="24"/>
          <w:szCs w:val="24"/>
          <w:vertAlign w:val="subscript"/>
        </w:rPr>
        <w:t xml:space="preserve"> </w:t>
      </w:r>
      <w:r w:rsidR="00BA7630">
        <w:rPr>
          <w:rFonts w:ascii="Times New Roman" w:hAnsi="Times New Roman" w:cs="Times New Roman"/>
          <w:sz w:val="24"/>
          <w:szCs w:val="24"/>
        </w:rPr>
        <w:t>and β</w:t>
      </w:r>
      <w:r w:rsidR="00BA7630" w:rsidRPr="00A22276">
        <w:rPr>
          <w:rFonts w:ascii="Times New Roman" w:hAnsi="Times New Roman" w:cs="Times New Roman"/>
          <w:sz w:val="24"/>
          <w:szCs w:val="24"/>
          <w:vertAlign w:val="subscript"/>
        </w:rPr>
        <w:t>2</w:t>
      </w:r>
      <w:r w:rsidR="00BA7630">
        <w:rPr>
          <w:rFonts w:ascii="Times New Roman" w:hAnsi="Times New Roman" w:cs="Times New Roman"/>
          <w:sz w:val="24"/>
          <w:szCs w:val="24"/>
          <w:vertAlign w:val="subscript"/>
        </w:rPr>
        <w:t xml:space="preserve"> </w:t>
      </w:r>
      <w:r w:rsidR="00BA7630">
        <w:rPr>
          <w:rFonts w:ascii="Times New Roman" w:hAnsi="Times New Roman" w:cs="Times New Roman"/>
          <w:sz w:val="24"/>
          <w:szCs w:val="24"/>
        </w:rPr>
        <w:t>are equal to zero in favor of the alternative hypothesis that either β</w:t>
      </w:r>
      <w:r w:rsidR="00BA7630" w:rsidRPr="00A22276">
        <w:rPr>
          <w:rFonts w:ascii="Times New Roman" w:hAnsi="Times New Roman" w:cs="Times New Roman"/>
          <w:sz w:val="24"/>
          <w:szCs w:val="24"/>
          <w:vertAlign w:val="subscript"/>
        </w:rPr>
        <w:t>1</w:t>
      </w:r>
      <w:r w:rsidR="00BA7630">
        <w:rPr>
          <w:rFonts w:ascii="Times New Roman" w:hAnsi="Times New Roman" w:cs="Times New Roman"/>
          <w:sz w:val="24"/>
          <w:szCs w:val="24"/>
        </w:rPr>
        <w:t xml:space="preserve"> or β</w:t>
      </w:r>
      <w:r w:rsidR="00BA7630" w:rsidRPr="00A22276">
        <w:rPr>
          <w:rFonts w:ascii="Times New Roman" w:hAnsi="Times New Roman" w:cs="Times New Roman"/>
          <w:sz w:val="24"/>
          <w:szCs w:val="24"/>
          <w:vertAlign w:val="subscript"/>
        </w:rPr>
        <w:t>2</w:t>
      </w:r>
      <w:r w:rsidR="00BA7630">
        <w:rPr>
          <w:rFonts w:ascii="Times New Roman" w:hAnsi="Times New Roman" w:cs="Times New Roman"/>
          <w:sz w:val="24"/>
          <w:szCs w:val="24"/>
          <w:vertAlign w:val="subscript"/>
        </w:rPr>
        <w:t xml:space="preserve"> </w:t>
      </w:r>
      <w:r w:rsidR="00BA7630">
        <w:rPr>
          <w:rFonts w:ascii="Times New Roman" w:hAnsi="Times New Roman" w:cs="Times New Roman"/>
          <w:sz w:val="24"/>
          <w:szCs w:val="24"/>
        </w:rPr>
        <w:t xml:space="preserve">is not equal to zero. The test for nonlinearity is statistically significant (p&lt;0.0005) suggesting that the </w:t>
      </w:r>
      <w:r w:rsidR="00B5181D">
        <w:rPr>
          <w:rFonts w:ascii="Times New Roman" w:hAnsi="Times New Roman" w:cs="Times New Roman"/>
          <w:sz w:val="24"/>
          <w:szCs w:val="24"/>
        </w:rPr>
        <w:t>linear model of</w:t>
      </w:r>
      <w:r w:rsidR="00BA7630">
        <w:rPr>
          <w:rFonts w:ascii="Times New Roman" w:hAnsi="Times New Roman" w:cs="Times New Roman"/>
          <w:sz w:val="24"/>
          <w:szCs w:val="24"/>
        </w:rPr>
        <w:t xml:space="preserve"> bilirubin in modeling the log hazard </w:t>
      </w:r>
      <w:r w:rsidR="00B5181D">
        <w:rPr>
          <w:rFonts w:ascii="Times New Roman" w:hAnsi="Times New Roman" w:cs="Times New Roman"/>
          <w:sz w:val="24"/>
          <w:szCs w:val="24"/>
        </w:rPr>
        <w:t>function</w:t>
      </w:r>
      <w:r w:rsidR="00BA7630">
        <w:rPr>
          <w:rFonts w:ascii="Times New Roman" w:hAnsi="Times New Roman" w:cs="Times New Roman"/>
          <w:sz w:val="24"/>
          <w:szCs w:val="24"/>
        </w:rPr>
        <w:t xml:space="preserve"> with mortality as the outcome is not </w:t>
      </w:r>
      <w:r w:rsidR="00B5181D">
        <w:rPr>
          <w:rFonts w:ascii="Times New Roman" w:hAnsi="Times New Roman" w:cs="Times New Roman"/>
          <w:sz w:val="24"/>
          <w:szCs w:val="24"/>
        </w:rPr>
        <w:t>sufficient.</w:t>
      </w:r>
      <w:r w:rsidR="00BA7630">
        <w:rPr>
          <w:rFonts w:ascii="Times New Roman" w:hAnsi="Times New Roman" w:cs="Times New Roman"/>
          <w:sz w:val="24"/>
          <w:szCs w:val="24"/>
        </w:rPr>
        <w:t xml:space="preserve"> </w:t>
      </w:r>
    </w:p>
    <w:p w14:paraId="3CEAFE6E" w14:textId="77777777" w:rsidR="004A33A4" w:rsidRPr="00880598" w:rsidRDefault="004A33A4" w:rsidP="00465EA0">
      <w:pPr>
        <w:spacing w:after="0" w:line="240" w:lineRule="auto"/>
        <w:rPr>
          <w:rFonts w:ascii="Courier New" w:hAnsi="Courier New" w:cs="Courier New"/>
          <w:color w:val="FF0000"/>
          <w:sz w:val="18"/>
          <w:szCs w:val="24"/>
        </w:rPr>
      </w:pPr>
    </w:p>
    <w:p w14:paraId="1E2FA791" w14:textId="77777777" w:rsidR="006C0F65" w:rsidRPr="00880598" w:rsidRDefault="00767AA1" w:rsidP="006C0F65">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Question 5b.</w:t>
      </w:r>
    </w:p>
    <w:p w14:paraId="253C24D8" w14:textId="77777777" w:rsidR="00767AA1" w:rsidRPr="00B5181D" w:rsidRDefault="00B5181D" w:rsidP="006C0F65">
      <w:pPr>
        <w:spacing w:after="0" w:line="240" w:lineRule="auto"/>
        <w:rPr>
          <w:rFonts w:ascii="Times New Roman" w:hAnsi="Times New Roman" w:cs="Times New Roman"/>
          <w:sz w:val="24"/>
          <w:szCs w:val="24"/>
        </w:rPr>
      </w:pPr>
      <w:r w:rsidRPr="00B5181D">
        <w:rPr>
          <w:rFonts w:ascii="Times New Roman" w:hAnsi="Times New Roman" w:cs="Times New Roman"/>
          <w:sz w:val="24"/>
          <w:szCs w:val="24"/>
        </w:rPr>
        <w:t xml:space="preserve">See graph in </w:t>
      </w:r>
      <w:r>
        <w:rPr>
          <w:rFonts w:ascii="Times New Roman" w:hAnsi="Times New Roman" w:cs="Times New Roman"/>
          <w:sz w:val="24"/>
          <w:szCs w:val="24"/>
        </w:rPr>
        <w:t>problem</w:t>
      </w:r>
      <w:r w:rsidRPr="00B5181D">
        <w:rPr>
          <w:rFonts w:ascii="Times New Roman" w:hAnsi="Times New Roman" w:cs="Times New Roman"/>
          <w:sz w:val="24"/>
          <w:szCs w:val="24"/>
        </w:rPr>
        <w:t xml:space="preserve"> 6.</w:t>
      </w:r>
    </w:p>
    <w:p w14:paraId="0F5E2AAB" w14:textId="77777777" w:rsidR="006C0F65" w:rsidRPr="00880598" w:rsidRDefault="006C0F65" w:rsidP="006C0F65">
      <w:pPr>
        <w:spacing w:after="0" w:line="240" w:lineRule="auto"/>
        <w:rPr>
          <w:rFonts w:ascii="Times New Roman" w:hAnsi="Times New Roman" w:cs="Times New Roman"/>
          <w:b/>
          <w:sz w:val="24"/>
          <w:szCs w:val="24"/>
        </w:rPr>
      </w:pPr>
    </w:p>
    <w:p w14:paraId="2A979E71" w14:textId="77777777" w:rsidR="006C0F65" w:rsidRPr="001E18AF" w:rsidRDefault="006C0F65" w:rsidP="001E18AF">
      <w:pPr>
        <w:spacing w:after="0" w:line="240" w:lineRule="auto"/>
        <w:rPr>
          <w:rFonts w:ascii="Times New Roman" w:hAnsi="Times New Roman" w:cs="Times New Roman"/>
          <w:b/>
          <w:sz w:val="24"/>
          <w:szCs w:val="24"/>
        </w:rPr>
      </w:pPr>
      <w:r w:rsidRPr="00880598">
        <w:rPr>
          <w:rFonts w:ascii="Times New Roman" w:hAnsi="Times New Roman" w:cs="Times New Roman"/>
          <w:b/>
          <w:sz w:val="24"/>
          <w:szCs w:val="24"/>
        </w:rPr>
        <w:t xml:space="preserve">Question </w:t>
      </w:r>
      <w:commentRangeStart w:id="7"/>
      <w:r w:rsidRPr="00880598">
        <w:rPr>
          <w:rFonts w:ascii="Times New Roman" w:hAnsi="Times New Roman" w:cs="Times New Roman"/>
          <w:b/>
          <w:sz w:val="24"/>
          <w:szCs w:val="24"/>
        </w:rPr>
        <w:t>6</w:t>
      </w:r>
      <w:commentRangeEnd w:id="7"/>
      <w:r w:rsidR="00267F31">
        <w:rPr>
          <w:rStyle w:val="CommentReference"/>
        </w:rPr>
        <w:commentReference w:id="7"/>
      </w:r>
      <w:r w:rsidRPr="00880598">
        <w:rPr>
          <w:rFonts w:ascii="Times New Roman" w:hAnsi="Times New Roman" w:cs="Times New Roman"/>
          <w:b/>
          <w:sz w:val="24"/>
          <w:szCs w:val="24"/>
        </w:rPr>
        <w:t>.</w:t>
      </w:r>
      <w:r w:rsidR="001E18AF">
        <w:rPr>
          <w:rFonts w:ascii="Times New Roman" w:hAnsi="Times New Roman" w:cs="Times New Roman"/>
          <w:b/>
          <w:sz w:val="24"/>
          <w:szCs w:val="24"/>
        </w:rPr>
        <w:t xml:space="preserve">  </w:t>
      </w:r>
      <w:r w:rsidR="004A3CC4" w:rsidRPr="00231FB8">
        <w:rPr>
          <w:rFonts w:ascii="Times New Roman" w:hAnsi="Times New Roman" w:cs="Times New Roman"/>
          <w:sz w:val="24"/>
          <w:szCs w:val="24"/>
        </w:rPr>
        <w:t xml:space="preserve">The three different models produce fitted values that are similar in that they indicate an upward trend – increasing relative hazard as bilirubin increases. </w:t>
      </w:r>
      <w:r w:rsidR="00231FB8" w:rsidRPr="00231FB8">
        <w:rPr>
          <w:rFonts w:ascii="Times New Roman" w:hAnsi="Times New Roman" w:cs="Times New Roman"/>
          <w:sz w:val="24"/>
          <w:szCs w:val="24"/>
        </w:rPr>
        <w:t xml:space="preserve">All three models are shown below with the relative hazard compared to 1 mg/dL bilirubin. </w:t>
      </w:r>
      <w:r w:rsidR="004A3CC4" w:rsidRPr="00231FB8">
        <w:rPr>
          <w:rFonts w:ascii="Times New Roman" w:hAnsi="Times New Roman" w:cs="Times New Roman"/>
          <w:sz w:val="24"/>
          <w:szCs w:val="24"/>
        </w:rPr>
        <w:t>There is very little difference between the model with log-transformed bilirubin as the predictor (labeled as log fit below) and the model with both bilirubin and the log-transformed bilirubin in the same model (labeled as log-linear fit below) when bilirubin levels are less than about 15 mg/dL. When bilirubin is less than about 20 mg/dL the model with untransformed bilirubin (labeled as linear fit below) underestimates the relative hazard compared to the other two models, but with increasing bilirubin levels greater than 20 mg/dL</w:t>
      </w:r>
      <w:r w:rsidR="00231FB8" w:rsidRPr="00231FB8">
        <w:rPr>
          <w:rFonts w:ascii="Times New Roman" w:hAnsi="Times New Roman" w:cs="Times New Roman"/>
          <w:sz w:val="24"/>
          <w:szCs w:val="24"/>
        </w:rPr>
        <w:t xml:space="preserve"> (where the data is much more sparse)</w:t>
      </w:r>
      <w:r w:rsidR="004A3CC4" w:rsidRPr="00231FB8">
        <w:rPr>
          <w:rFonts w:ascii="Times New Roman" w:hAnsi="Times New Roman" w:cs="Times New Roman"/>
          <w:sz w:val="24"/>
          <w:szCs w:val="24"/>
        </w:rPr>
        <w:t xml:space="preserve"> this model overestimates the relative hazard compared to the other two models. </w:t>
      </w:r>
      <w:r w:rsidR="00231FB8" w:rsidRPr="00231FB8">
        <w:rPr>
          <w:rFonts w:ascii="Times New Roman" w:hAnsi="Times New Roman" w:cs="Times New Roman"/>
          <w:sz w:val="24"/>
          <w:szCs w:val="24"/>
        </w:rPr>
        <w:t>While the log linear and log fit models are both similar over lower bilirubin levels, we would select the log-fit model for ease of interpretability and communication.</w:t>
      </w:r>
    </w:p>
    <w:p w14:paraId="15A610FF" w14:textId="77777777" w:rsidR="006C0F65" w:rsidRPr="00880598" w:rsidRDefault="00A25BDB">
      <w:pPr>
        <w:rPr>
          <w:rFonts w:ascii="Times New Roman" w:hAnsi="Times New Roman" w:cs="Times New Roman"/>
          <w:sz w:val="24"/>
          <w:szCs w:val="24"/>
        </w:rPr>
      </w:pPr>
      <w:r w:rsidRPr="00A25BDB">
        <w:rPr>
          <w:rFonts w:ascii="Times New Roman" w:hAnsi="Times New Roman" w:cs="Times New Roman"/>
          <w:noProof/>
          <w:sz w:val="24"/>
          <w:szCs w:val="24"/>
        </w:rPr>
        <w:lastRenderedPageBreak/>
        <w:drawing>
          <wp:inline distT="0" distB="0" distL="0" distR="0" wp14:anchorId="18F7D841" wp14:editId="773007BB">
            <wp:extent cx="3833495" cy="2795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3495" cy="2795905"/>
                    </a:xfrm>
                    <a:prstGeom prst="rect">
                      <a:avLst/>
                    </a:prstGeom>
                    <a:noFill/>
                    <a:ln>
                      <a:noFill/>
                    </a:ln>
                  </pic:spPr>
                </pic:pic>
              </a:graphicData>
            </a:graphic>
          </wp:inline>
        </w:drawing>
      </w:r>
    </w:p>
    <w:p w14:paraId="1EE6C61A" w14:textId="77777777" w:rsidR="006C0F65" w:rsidRPr="00890DC3" w:rsidRDefault="006C0F65">
      <w:pPr>
        <w:rPr>
          <w:rFonts w:ascii="Times New Roman" w:hAnsi="Times New Roman" w:cs="Times New Roman"/>
          <w:sz w:val="24"/>
          <w:szCs w:val="24"/>
        </w:rPr>
      </w:pPr>
      <w:r w:rsidRPr="00880598">
        <w:rPr>
          <w:rFonts w:ascii="Times New Roman" w:hAnsi="Times New Roman" w:cs="Times New Roman"/>
          <w:b/>
          <w:sz w:val="24"/>
          <w:szCs w:val="24"/>
        </w:rPr>
        <w:t>Question 7</w:t>
      </w:r>
      <w:r w:rsidR="000D55C1" w:rsidRPr="00880598">
        <w:rPr>
          <w:rFonts w:ascii="Times New Roman" w:hAnsi="Times New Roman" w:cs="Times New Roman"/>
          <w:b/>
          <w:sz w:val="24"/>
          <w:szCs w:val="24"/>
        </w:rPr>
        <w:t>a</w:t>
      </w:r>
      <w:r w:rsidRPr="00880598">
        <w:rPr>
          <w:rFonts w:ascii="Times New Roman" w:hAnsi="Times New Roman" w:cs="Times New Roman"/>
          <w:b/>
          <w:sz w:val="24"/>
          <w:szCs w:val="24"/>
        </w:rPr>
        <w:t>.</w:t>
      </w:r>
      <w:r w:rsidR="00890DC3">
        <w:rPr>
          <w:rFonts w:ascii="Times New Roman" w:hAnsi="Times New Roman" w:cs="Times New Roman"/>
          <w:b/>
          <w:sz w:val="24"/>
          <w:szCs w:val="24"/>
        </w:rPr>
        <w:t xml:space="preserve"> </w:t>
      </w:r>
      <w:commentRangeStart w:id="8"/>
      <w:r w:rsidR="00890DC3">
        <w:rPr>
          <w:rFonts w:ascii="Times New Roman" w:hAnsi="Times New Roman" w:cs="Times New Roman"/>
          <w:sz w:val="24"/>
          <w:szCs w:val="24"/>
        </w:rPr>
        <w:t>A</w:t>
      </w:r>
      <w:commentRangeEnd w:id="8"/>
      <w:r w:rsidR="00267F31">
        <w:rPr>
          <w:rStyle w:val="CommentReference"/>
        </w:rPr>
        <w:commentReference w:id="8"/>
      </w:r>
      <w:r w:rsidR="00890DC3">
        <w:rPr>
          <w:rFonts w:ascii="Times New Roman" w:hAnsi="Times New Roman" w:cs="Times New Roman"/>
          <w:sz w:val="24"/>
          <w:szCs w:val="24"/>
        </w:rPr>
        <w:t xml:space="preserve"> confounder would be associated with the pred</w:t>
      </w:r>
      <w:r w:rsidR="002901CF">
        <w:rPr>
          <w:rFonts w:ascii="Times New Roman" w:hAnsi="Times New Roman" w:cs="Times New Roman"/>
          <w:sz w:val="24"/>
          <w:szCs w:val="24"/>
        </w:rPr>
        <w:t>ictor of interest in the sample and</w:t>
      </w:r>
      <w:r w:rsidR="00890DC3">
        <w:rPr>
          <w:rFonts w:ascii="Times New Roman" w:hAnsi="Times New Roman" w:cs="Times New Roman"/>
          <w:sz w:val="24"/>
          <w:szCs w:val="24"/>
        </w:rPr>
        <w:t xml:space="preserve"> causally assoc</w:t>
      </w:r>
      <w:r w:rsidR="002901CF">
        <w:rPr>
          <w:rFonts w:ascii="Times New Roman" w:hAnsi="Times New Roman" w:cs="Times New Roman"/>
          <w:sz w:val="24"/>
          <w:szCs w:val="24"/>
        </w:rPr>
        <w:t>iated with outcome of interest but not in the causal pathway of interest. The association of interest in each stratum in the confounder will be similar to each other but different from the association in the combined sample. Both sex and age do not appear to be associated with the predictor of interest, bilirubin (see Table 1 in Question 1). There are a similar proportion of females in each group defined by bilirubin level and the mean age is very similar across all four bilirubin groups. Because neither of these variables (age or sex) are associated with the predictor of interest in the sample, we do not think they are confounders.</w:t>
      </w:r>
      <w:r w:rsidR="003C18D4">
        <w:rPr>
          <w:rFonts w:ascii="Times New Roman" w:hAnsi="Times New Roman" w:cs="Times New Roman"/>
          <w:sz w:val="24"/>
          <w:szCs w:val="24"/>
        </w:rPr>
        <w:t xml:space="preserve"> </w:t>
      </w:r>
    </w:p>
    <w:p w14:paraId="164AA785" w14:textId="77777777" w:rsidR="000D55C1" w:rsidRPr="0014278E" w:rsidRDefault="000D55C1">
      <w:pPr>
        <w:rPr>
          <w:rFonts w:ascii="Times New Roman" w:hAnsi="Times New Roman" w:cs="Times New Roman"/>
          <w:sz w:val="24"/>
          <w:szCs w:val="24"/>
        </w:rPr>
      </w:pPr>
      <w:r w:rsidRPr="00880598">
        <w:rPr>
          <w:rFonts w:ascii="Times New Roman" w:hAnsi="Times New Roman" w:cs="Times New Roman"/>
          <w:b/>
          <w:sz w:val="24"/>
          <w:szCs w:val="24"/>
        </w:rPr>
        <w:t>Question 7b.</w:t>
      </w:r>
      <w:r w:rsidR="0014278E">
        <w:rPr>
          <w:rFonts w:ascii="Times New Roman" w:hAnsi="Times New Roman" w:cs="Times New Roman"/>
          <w:b/>
          <w:sz w:val="24"/>
          <w:szCs w:val="24"/>
        </w:rPr>
        <w:t xml:space="preserve"> </w:t>
      </w:r>
      <w:commentRangeStart w:id="9"/>
      <w:r w:rsidR="0014278E">
        <w:rPr>
          <w:rFonts w:ascii="Times New Roman" w:hAnsi="Times New Roman" w:cs="Times New Roman"/>
          <w:sz w:val="24"/>
          <w:szCs w:val="24"/>
        </w:rPr>
        <w:t>Adjustment</w:t>
      </w:r>
      <w:commentRangeEnd w:id="9"/>
      <w:r w:rsidR="00FC3090">
        <w:rPr>
          <w:rStyle w:val="CommentReference"/>
        </w:rPr>
        <w:commentReference w:id="9"/>
      </w:r>
      <w:r w:rsidR="0014278E">
        <w:rPr>
          <w:rFonts w:ascii="Times New Roman" w:hAnsi="Times New Roman" w:cs="Times New Roman"/>
          <w:sz w:val="24"/>
          <w:szCs w:val="24"/>
        </w:rPr>
        <w:t xml:space="preserve"> for a precision variable will impact the standard errors leading to a narrower confidence interval. As established above in part a, neither age nor sex are associated with bilirubin level (predictor of interest in this sample). </w:t>
      </w:r>
      <w:r w:rsidR="00231FB8">
        <w:rPr>
          <w:rFonts w:ascii="Times New Roman" w:hAnsi="Times New Roman" w:cs="Times New Roman"/>
          <w:sz w:val="24"/>
          <w:szCs w:val="24"/>
        </w:rPr>
        <w:t>However</w:t>
      </w:r>
      <w:r w:rsidR="0014278E">
        <w:rPr>
          <w:rFonts w:ascii="Times New Roman" w:hAnsi="Times New Roman" w:cs="Times New Roman"/>
          <w:sz w:val="24"/>
          <w:szCs w:val="24"/>
        </w:rPr>
        <w:t xml:space="preserve">, </w:t>
      </w:r>
      <w:r w:rsidR="006E5D5D">
        <w:rPr>
          <w:rFonts w:ascii="Times New Roman" w:hAnsi="Times New Roman" w:cs="Times New Roman"/>
          <w:sz w:val="24"/>
          <w:szCs w:val="24"/>
        </w:rPr>
        <w:t xml:space="preserve">they are causally associated with mortality (women tend to live longer than men </w:t>
      </w:r>
      <w:r w:rsidR="00231FB8">
        <w:rPr>
          <w:rFonts w:ascii="Times New Roman" w:hAnsi="Times New Roman" w:cs="Times New Roman"/>
          <w:sz w:val="24"/>
          <w:szCs w:val="24"/>
        </w:rPr>
        <w:t xml:space="preserve">as shown in the Kaplan-Meier survival curves in Question 1 </w:t>
      </w:r>
      <w:r w:rsidR="006E5D5D">
        <w:rPr>
          <w:rFonts w:ascii="Times New Roman" w:hAnsi="Times New Roman" w:cs="Times New Roman"/>
          <w:sz w:val="24"/>
          <w:szCs w:val="24"/>
        </w:rPr>
        <w:t>and older age is associated with mortality). Thus both age and sex are precision variables. Adjusting for these precision variables moves the estimate of the hazard ratio slightly further from the null.</w:t>
      </w:r>
    </w:p>
    <w:p w14:paraId="49094526" w14:textId="77777777" w:rsidR="001E1279" w:rsidRPr="00880598" w:rsidRDefault="000D55C1">
      <w:pPr>
        <w:rPr>
          <w:rFonts w:ascii="Times New Roman" w:hAnsi="Times New Roman" w:cs="Times New Roman"/>
          <w:b/>
          <w:sz w:val="24"/>
          <w:szCs w:val="24"/>
        </w:rPr>
      </w:pPr>
      <w:r w:rsidRPr="00880598">
        <w:rPr>
          <w:rFonts w:ascii="Times New Roman" w:hAnsi="Times New Roman" w:cs="Times New Roman"/>
          <w:b/>
          <w:sz w:val="24"/>
          <w:szCs w:val="24"/>
        </w:rPr>
        <w:t xml:space="preserve">Question </w:t>
      </w:r>
      <w:commentRangeStart w:id="10"/>
      <w:r w:rsidRPr="00880598">
        <w:rPr>
          <w:rFonts w:ascii="Times New Roman" w:hAnsi="Times New Roman" w:cs="Times New Roman"/>
          <w:b/>
          <w:sz w:val="24"/>
          <w:szCs w:val="24"/>
        </w:rPr>
        <w:t>7c</w:t>
      </w:r>
      <w:commentRangeEnd w:id="10"/>
      <w:r w:rsidR="00FC3090">
        <w:rPr>
          <w:rStyle w:val="CommentReference"/>
        </w:rPr>
        <w:commentReference w:id="10"/>
      </w:r>
      <w:r w:rsidRPr="00880598">
        <w:rPr>
          <w:rFonts w:ascii="Times New Roman" w:hAnsi="Times New Roman" w:cs="Times New Roman"/>
          <w:b/>
          <w:sz w:val="24"/>
          <w:szCs w:val="24"/>
        </w:rPr>
        <w:t>.</w:t>
      </w:r>
    </w:p>
    <w:p w14:paraId="03AEA69D" w14:textId="77777777" w:rsidR="001E1279" w:rsidRPr="00880598" w:rsidRDefault="000D55C1">
      <w:pPr>
        <w:rPr>
          <w:rFonts w:ascii="Times New Roman" w:hAnsi="Times New Roman" w:cs="Times New Roman"/>
          <w:sz w:val="24"/>
          <w:szCs w:val="24"/>
        </w:rPr>
      </w:pPr>
      <w:r w:rsidRPr="00880598">
        <w:rPr>
          <w:rFonts w:ascii="Times New Roman" w:hAnsi="Times New Roman" w:cs="Times New Roman"/>
          <w:sz w:val="24"/>
          <w:szCs w:val="24"/>
          <w:u w:val="single"/>
        </w:rPr>
        <w:t>Methods</w:t>
      </w:r>
      <w:r w:rsidRPr="00880598">
        <w:rPr>
          <w:rFonts w:ascii="Times New Roman" w:hAnsi="Times New Roman" w:cs="Times New Roman"/>
          <w:sz w:val="24"/>
          <w:szCs w:val="24"/>
        </w:rPr>
        <w:t>: Proportional hazards regression with robust standard errors was used to estimate the association between bilirubin (predictor of interest) and all-cause mortality (response), adjusted for sex and age.</w:t>
      </w:r>
      <w:r w:rsidR="0031762E" w:rsidRPr="00880598">
        <w:rPr>
          <w:rFonts w:ascii="Times New Roman" w:hAnsi="Times New Roman" w:cs="Times New Roman"/>
          <w:sz w:val="24"/>
          <w:szCs w:val="24"/>
        </w:rPr>
        <w:t xml:space="preserve"> </w:t>
      </w:r>
      <w:r w:rsidR="006E5D5D">
        <w:rPr>
          <w:rFonts w:ascii="Times New Roman" w:hAnsi="Times New Roman" w:cs="Times New Roman"/>
          <w:sz w:val="24"/>
          <w:szCs w:val="24"/>
        </w:rPr>
        <w:t xml:space="preserve">Bilirubin was log-transformed using base 2. </w:t>
      </w:r>
      <w:r w:rsidR="0031762E" w:rsidRPr="00880598">
        <w:rPr>
          <w:rFonts w:ascii="Times New Roman" w:hAnsi="Times New Roman" w:cs="Times New Roman"/>
          <w:sz w:val="24"/>
          <w:szCs w:val="24"/>
        </w:rPr>
        <w:t>The two-sided p-value and 95% confidence interval are Wald-based estimates</w:t>
      </w:r>
      <w:r w:rsidR="00B94676">
        <w:rPr>
          <w:rFonts w:ascii="Times New Roman" w:hAnsi="Times New Roman" w:cs="Times New Roman"/>
          <w:sz w:val="24"/>
          <w:szCs w:val="24"/>
        </w:rPr>
        <w:t xml:space="preserve"> with standard errors computed using the Huber-White sandwich estimator</w:t>
      </w:r>
      <w:r w:rsidR="0031762E" w:rsidRPr="00880598">
        <w:rPr>
          <w:rFonts w:ascii="Times New Roman" w:hAnsi="Times New Roman" w:cs="Times New Roman"/>
          <w:sz w:val="24"/>
          <w:szCs w:val="24"/>
        </w:rPr>
        <w:t>. All subjects had data on age. Subjects missing data on sex were excluded from this analysis.</w:t>
      </w:r>
    </w:p>
    <w:p w14:paraId="5E3A8669" w14:textId="77777777" w:rsidR="000D55C1" w:rsidRPr="00880598" w:rsidRDefault="000D55C1">
      <w:pPr>
        <w:rPr>
          <w:rFonts w:ascii="Times New Roman" w:hAnsi="Times New Roman" w:cs="Times New Roman"/>
          <w:sz w:val="24"/>
          <w:szCs w:val="24"/>
        </w:rPr>
      </w:pPr>
      <w:r w:rsidRPr="00880598">
        <w:rPr>
          <w:rFonts w:ascii="Times New Roman" w:hAnsi="Times New Roman" w:cs="Times New Roman"/>
          <w:sz w:val="24"/>
          <w:szCs w:val="24"/>
          <w:u w:val="single"/>
        </w:rPr>
        <w:t>Results</w:t>
      </w:r>
      <w:r w:rsidRPr="00880598">
        <w:rPr>
          <w:rFonts w:ascii="Times New Roman" w:hAnsi="Times New Roman" w:cs="Times New Roman"/>
          <w:sz w:val="24"/>
          <w:szCs w:val="24"/>
        </w:rPr>
        <w:t>:</w:t>
      </w:r>
      <w:r w:rsidR="0031762E" w:rsidRPr="00880598">
        <w:rPr>
          <w:rFonts w:ascii="Times New Roman" w:hAnsi="Times New Roman" w:cs="Times New Roman"/>
          <w:sz w:val="24"/>
          <w:szCs w:val="24"/>
        </w:rPr>
        <w:t xml:space="preserve"> 312 subjects were included in this analysis. Comparing two groups </w:t>
      </w:r>
      <w:r w:rsidR="006E5D5D">
        <w:rPr>
          <w:rFonts w:ascii="Times New Roman" w:hAnsi="Times New Roman" w:cs="Times New Roman"/>
          <w:sz w:val="24"/>
          <w:szCs w:val="24"/>
        </w:rPr>
        <w:t>with a 2-fold difference</w:t>
      </w:r>
      <w:r w:rsidR="0031762E" w:rsidRPr="00880598">
        <w:rPr>
          <w:rFonts w:ascii="Times New Roman" w:hAnsi="Times New Roman" w:cs="Times New Roman"/>
          <w:sz w:val="24"/>
          <w:szCs w:val="24"/>
        </w:rPr>
        <w:t xml:space="preserve"> in bilirubin level but of the same sex and age, the group with the higher biliru</w:t>
      </w:r>
      <w:r w:rsidR="006E5D5D">
        <w:rPr>
          <w:rFonts w:ascii="Times New Roman" w:hAnsi="Times New Roman" w:cs="Times New Roman"/>
          <w:sz w:val="24"/>
          <w:szCs w:val="24"/>
        </w:rPr>
        <w:t xml:space="preserve">bin is estimated to have a 2.108 times </w:t>
      </w:r>
      <w:r w:rsidR="0031762E" w:rsidRPr="00880598">
        <w:rPr>
          <w:rFonts w:ascii="Times New Roman" w:hAnsi="Times New Roman" w:cs="Times New Roman"/>
          <w:sz w:val="24"/>
          <w:szCs w:val="24"/>
        </w:rPr>
        <w:t xml:space="preserve">higher instantaneous risk of death. Based on the 95% confidence interval, this estimate would not be judged unusual if the true instantaneous </w:t>
      </w:r>
      <w:r w:rsidR="006E5D5D">
        <w:rPr>
          <w:rFonts w:ascii="Times New Roman" w:hAnsi="Times New Roman" w:cs="Times New Roman"/>
          <w:sz w:val="24"/>
          <w:szCs w:val="24"/>
        </w:rPr>
        <w:t xml:space="preserve">risk of death were </w:t>
      </w:r>
      <w:r w:rsidR="006E5D5D">
        <w:rPr>
          <w:rFonts w:ascii="Times New Roman" w:hAnsi="Times New Roman" w:cs="Times New Roman"/>
          <w:sz w:val="24"/>
          <w:szCs w:val="24"/>
        </w:rPr>
        <w:lastRenderedPageBreak/>
        <w:t>between 1.840</w:t>
      </w:r>
      <w:r w:rsidR="0031762E" w:rsidRPr="00880598">
        <w:rPr>
          <w:rFonts w:ascii="Times New Roman" w:hAnsi="Times New Roman" w:cs="Times New Roman"/>
          <w:sz w:val="24"/>
          <w:szCs w:val="24"/>
        </w:rPr>
        <w:t xml:space="preserve"> and </w:t>
      </w:r>
      <w:r w:rsidR="006E5D5D">
        <w:rPr>
          <w:rFonts w:ascii="Times New Roman" w:hAnsi="Times New Roman" w:cs="Times New Roman"/>
          <w:sz w:val="24"/>
          <w:szCs w:val="24"/>
        </w:rPr>
        <w:t>2.416</w:t>
      </w:r>
      <w:r w:rsidR="0031762E" w:rsidRPr="00880598">
        <w:rPr>
          <w:rFonts w:ascii="Times New Roman" w:hAnsi="Times New Roman" w:cs="Times New Roman"/>
          <w:sz w:val="24"/>
          <w:szCs w:val="24"/>
        </w:rPr>
        <w:t xml:space="preserve"> times higher in the group with higher bilirubin. A highly </w:t>
      </w:r>
      <w:r w:rsidR="00065DB9" w:rsidRPr="00880598">
        <w:rPr>
          <w:rFonts w:ascii="Times New Roman" w:hAnsi="Times New Roman" w:cs="Times New Roman"/>
          <w:sz w:val="24"/>
          <w:szCs w:val="24"/>
        </w:rPr>
        <w:t xml:space="preserve">statistically </w:t>
      </w:r>
      <w:r w:rsidR="005763D1">
        <w:rPr>
          <w:rFonts w:ascii="Times New Roman" w:hAnsi="Times New Roman" w:cs="Times New Roman"/>
          <w:sz w:val="24"/>
          <w:szCs w:val="24"/>
        </w:rPr>
        <w:t>significant p-value (p</w:t>
      </w:r>
      <w:r w:rsidR="0031762E" w:rsidRPr="00880598">
        <w:rPr>
          <w:rFonts w:ascii="Times New Roman" w:hAnsi="Times New Roman" w:cs="Times New Roman"/>
          <w:sz w:val="24"/>
          <w:szCs w:val="24"/>
        </w:rPr>
        <w:t>&lt;0.0005) suggests that we can reject the null hypothesis of no difference in risk of death in favor of the null hypothesis of a higher instantaneous risk of death among those with a higher bilirubin of the same age and sex as those with a lower bilirubin.</w:t>
      </w:r>
    </w:p>
    <w:p w14:paraId="06435EE3" w14:textId="77777777" w:rsidR="006C0F65" w:rsidRPr="001E18AF" w:rsidRDefault="006C0F65">
      <w:pPr>
        <w:rPr>
          <w:rFonts w:ascii="Times New Roman" w:hAnsi="Times New Roman" w:cs="Times New Roman"/>
          <w:b/>
          <w:sz w:val="24"/>
          <w:szCs w:val="24"/>
        </w:rPr>
      </w:pPr>
      <w:r w:rsidRPr="00880598">
        <w:rPr>
          <w:rFonts w:ascii="Times New Roman" w:hAnsi="Times New Roman" w:cs="Times New Roman"/>
          <w:b/>
          <w:sz w:val="24"/>
          <w:szCs w:val="24"/>
        </w:rPr>
        <w:t xml:space="preserve">Question </w:t>
      </w:r>
      <w:commentRangeStart w:id="11"/>
      <w:r w:rsidRPr="00880598">
        <w:rPr>
          <w:rFonts w:ascii="Times New Roman" w:hAnsi="Times New Roman" w:cs="Times New Roman"/>
          <w:b/>
          <w:sz w:val="24"/>
          <w:szCs w:val="24"/>
        </w:rPr>
        <w:t>8</w:t>
      </w:r>
      <w:commentRangeEnd w:id="11"/>
      <w:r w:rsidR="00FC3090">
        <w:rPr>
          <w:rStyle w:val="CommentReference"/>
        </w:rPr>
        <w:commentReference w:id="11"/>
      </w:r>
      <w:r w:rsidRPr="00880598">
        <w:rPr>
          <w:rFonts w:ascii="Times New Roman" w:hAnsi="Times New Roman" w:cs="Times New Roman"/>
          <w:b/>
          <w:sz w:val="24"/>
          <w:szCs w:val="24"/>
        </w:rPr>
        <w:t>.</w:t>
      </w:r>
      <w:r w:rsidR="001E18AF">
        <w:rPr>
          <w:rFonts w:ascii="Times New Roman" w:hAnsi="Times New Roman" w:cs="Times New Roman"/>
          <w:b/>
          <w:sz w:val="24"/>
          <w:szCs w:val="24"/>
        </w:rPr>
        <w:t xml:space="preserve"> </w:t>
      </w:r>
      <w:r w:rsidR="00DB1B83">
        <w:rPr>
          <w:rFonts w:ascii="Times New Roman" w:hAnsi="Times New Roman" w:cs="Times New Roman"/>
          <w:sz w:val="24"/>
          <w:szCs w:val="24"/>
        </w:rPr>
        <w:t xml:space="preserve">The treatment arm (drug versus placebo) is missing for 108 subjects. The treatment arm is not associated with the baseline bilirubin level (similar proportions were designated to the intervention arm within each bilirubin strata, see Table 1 in Question 1) and thus would not be considered a confounder. We might expect that treatment arm would be an effect modifier and that the association between baseline bilirubin and mortality could be different among those taking the drug versus those taking the placebo. However, we see a similar hazard ratio within each group (2.062 among those on the placebo and 2.099 among those on the active drug). We might also consider treatment arm as a precision variable as it is not associated with the exposure (bilirubin). </w:t>
      </w:r>
      <w:r w:rsidR="001E18AF">
        <w:rPr>
          <w:rFonts w:ascii="Times New Roman" w:hAnsi="Times New Roman" w:cs="Times New Roman"/>
          <w:sz w:val="24"/>
          <w:szCs w:val="24"/>
        </w:rPr>
        <w:t>However, the Kaplan-Meier survival curve in Question 1 does not provide evidence that the treatment is associated with mortality and thus treatment would not be considered a precision variable.</w:t>
      </w:r>
    </w:p>
    <w:sectPr w:rsidR="006C0F65" w:rsidRPr="001E18A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08A59423" w14:textId="77777777" w:rsidR="00267F31" w:rsidRDefault="00267F31">
      <w:pPr>
        <w:pStyle w:val="CommentText"/>
      </w:pPr>
      <w:r>
        <w:rPr>
          <w:rStyle w:val="CommentReference"/>
        </w:rPr>
        <w:annotationRef/>
      </w:r>
      <w:r>
        <w:t>Total:</w:t>
      </w:r>
      <w:r w:rsidR="00FC3090">
        <w:t xml:space="preserve"> 92/105</w:t>
      </w:r>
      <w:bookmarkStart w:id="1" w:name="_GoBack"/>
      <w:bookmarkEnd w:id="1"/>
    </w:p>
    <w:p w14:paraId="5330B84A" w14:textId="77777777" w:rsidR="00267F31" w:rsidRDefault="00267F31">
      <w:pPr>
        <w:pStyle w:val="CommentText"/>
      </w:pPr>
      <w:r>
        <w:t xml:space="preserve">8/10 + 6/10 + 10/10 + 15/15 + 10/10 + 10/10 + </w:t>
      </w:r>
      <w:r w:rsidR="00FC3090">
        <w:t>(5/10 + 8/10 + 10/10) + 10/10</w:t>
      </w:r>
    </w:p>
  </w:comment>
  <w:comment w:id="2" w:author="Author" w:initials="A">
    <w:p w14:paraId="0F1AC3DB" w14:textId="77777777" w:rsidR="00267F31" w:rsidRDefault="00267F31">
      <w:pPr>
        <w:pStyle w:val="CommentText"/>
      </w:pPr>
      <w:r>
        <w:rPr>
          <w:rStyle w:val="CommentReference"/>
        </w:rPr>
        <w:annotationRef/>
      </w:r>
      <w:r>
        <w:t>Problem 1: 8/10</w:t>
      </w:r>
    </w:p>
    <w:p w14:paraId="10D85B4A" w14:textId="77777777" w:rsidR="00267F31" w:rsidRDefault="00267F31">
      <w:pPr>
        <w:pStyle w:val="CommentText"/>
      </w:pPr>
      <w:r>
        <w:t>Did not include probability of x-year survival in the table: -2pts</w:t>
      </w:r>
    </w:p>
  </w:comment>
  <w:comment w:id="3" w:author="Author" w:initials="A">
    <w:p w14:paraId="5732D83C" w14:textId="77777777" w:rsidR="00267F31" w:rsidRDefault="00267F31">
      <w:pPr>
        <w:pStyle w:val="CommentText"/>
      </w:pPr>
      <w:r>
        <w:rPr>
          <w:rStyle w:val="CommentReference"/>
        </w:rPr>
        <w:annotationRef/>
      </w:r>
      <w:r>
        <w:t>Problem 2: 6/10</w:t>
      </w:r>
    </w:p>
    <w:p w14:paraId="549E5208" w14:textId="77777777" w:rsidR="00267F31" w:rsidRPr="00267F31" w:rsidRDefault="00267F31" w:rsidP="00267F31">
      <w:pPr>
        <w:widowControl w:val="0"/>
        <w:autoSpaceDE w:val="0"/>
        <w:autoSpaceDN w:val="0"/>
        <w:adjustRightInd w:val="0"/>
        <w:spacing w:after="240" w:line="240" w:lineRule="auto"/>
        <w:rPr>
          <w:rFonts w:ascii="Times" w:hAnsi="Times" w:cs="Times"/>
          <w:sz w:val="24"/>
          <w:szCs w:val="24"/>
        </w:rPr>
      </w:pPr>
      <w:r w:rsidRPr="00267F31">
        <w:t xml:space="preserve">Should also have </w:t>
      </w:r>
      <w:r w:rsidRPr="00267F31">
        <w:rPr>
          <w:rFonts w:ascii="Times" w:hAnsi="Times" w:cs="Times"/>
          <w:bCs/>
          <w:iCs/>
          <w:sz w:val="30"/>
          <w:szCs w:val="30"/>
        </w:rPr>
        <w:t>discussed the loss of information when only considering 18 months of follow-up</w:t>
      </w:r>
      <w:r>
        <w:rPr>
          <w:rFonts w:ascii="Times" w:hAnsi="Times" w:cs="Times"/>
          <w:bCs/>
          <w:iCs/>
          <w:sz w:val="30"/>
          <w:szCs w:val="30"/>
        </w:rPr>
        <w:t>. -4pts</w:t>
      </w:r>
    </w:p>
    <w:p w14:paraId="58BDEDBF" w14:textId="77777777" w:rsidR="00267F31" w:rsidRPr="00267F31" w:rsidRDefault="00267F31">
      <w:pPr>
        <w:pStyle w:val="CommentText"/>
      </w:pPr>
    </w:p>
  </w:comment>
  <w:comment w:id="4" w:author="Author" w:initials="A">
    <w:p w14:paraId="0956A75C" w14:textId="77777777" w:rsidR="00267F31" w:rsidRDefault="00267F31">
      <w:pPr>
        <w:pStyle w:val="CommentText"/>
      </w:pPr>
      <w:r>
        <w:rPr>
          <w:rStyle w:val="CommentReference"/>
        </w:rPr>
        <w:annotationRef/>
      </w:r>
      <w:r>
        <w:t>Problem 3: 10/10</w:t>
      </w:r>
    </w:p>
  </w:comment>
  <w:comment w:id="5" w:author="Author" w:initials="A">
    <w:p w14:paraId="5C5F2845" w14:textId="77777777" w:rsidR="00267F31" w:rsidRDefault="00267F31">
      <w:pPr>
        <w:pStyle w:val="CommentText"/>
      </w:pPr>
      <w:r>
        <w:rPr>
          <w:rStyle w:val="CommentReference"/>
        </w:rPr>
        <w:annotationRef/>
      </w:r>
      <w:r>
        <w:t>Problem 4: 15/15</w:t>
      </w:r>
    </w:p>
    <w:p w14:paraId="4998D394" w14:textId="77777777" w:rsidR="00267F31" w:rsidRDefault="00267F31" w:rsidP="00267F31">
      <w:pPr>
        <w:pStyle w:val="CommentText"/>
        <w:numPr>
          <w:ilvl w:val="0"/>
          <w:numId w:val="1"/>
        </w:numPr>
      </w:pPr>
      <w:r>
        <w:t>5/5</w:t>
      </w:r>
    </w:p>
    <w:p w14:paraId="06F9BFEB" w14:textId="77777777" w:rsidR="00267F31" w:rsidRDefault="00267F31" w:rsidP="00267F31">
      <w:pPr>
        <w:pStyle w:val="CommentText"/>
        <w:numPr>
          <w:ilvl w:val="0"/>
          <w:numId w:val="1"/>
        </w:numPr>
      </w:pPr>
      <w:r>
        <w:t xml:space="preserve"> 10/10</w:t>
      </w:r>
    </w:p>
  </w:comment>
  <w:comment w:id="6" w:author="Author" w:initials="A">
    <w:p w14:paraId="3644441B" w14:textId="77777777" w:rsidR="00267F31" w:rsidRDefault="00267F31">
      <w:pPr>
        <w:pStyle w:val="CommentText"/>
      </w:pPr>
      <w:r>
        <w:rPr>
          <w:rStyle w:val="CommentReference"/>
        </w:rPr>
        <w:annotationRef/>
      </w:r>
      <w:r>
        <w:t>Problem 5: 10/10</w:t>
      </w:r>
    </w:p>
  </w:comment>
  <w:comment w:id="7" w:author="Author" w:initials="A">
    <w:p w14:paraId="73F5A050" w14:textId="77777777" w:rsidR="00267F31" w:rsidRDefault="00267F31">
      <w:pPr>
        <w:pStyle w:val="CommentText"/>
      </w:pPr>
      <w:r>
        <w:rPr>
          <w:rStyle w:val="CommentReference"/>
        </w:rPr>
        <w:annotationRef/>
      </w:r>
      <w:r>
        <w:t>Problem 6: 10/10</w:t>
      </w:r>
    </w:p>
  </w:comment>
  <w:comment w:id="8" w:author="Author" w:initials="A">
    <w:p w14:paraId="31141B78" w14:textId="77777777" w:rsidR="00267F31" w:rsidRPr="00FC3090" w:rsidRDefault="00267F31">
      <w:pPr>
        <w:pStyle w:val="CommentText"/>
      </w:pPr>
      <w:r w:rsidRPr="00FC3090">
        <w:rPr>
          <w:rStyle w:val="CommentReference"/>
        </w:rPr>
        <w:annotationRef/>
      </w:r>
      <w:r w:rsidRPr="00FC3090">
        <w:t>Problem 7(a):</w:t>
      </w:r>
      <w:r w:rsidR="00FC3090">
        <w:t xml:space="preserve"> 5/10</w:t>
      </w:r>
    </w:p>
    <w:p w14:paraId="6B6E8E8D" w14:textId="77777777" w:rsidR="00FC3090" w:rsidRPr="00FC3090" w:rsidRDefault="00FC3090" w:rsidP="00FC3090">
      <w:pPr>
        <w:widowControl w:val="0"/>
        <w:autoSpaceDE w:val="0"/>
        <w:autoSpaceDN w:val="0"/>
        <w:adjustRightInd w:val="0"/>
        <w:spacing w:after="240" w:line="240" w:lineRule="auto"/>
        <w:rPr>
          <w:rFonts w:ascii="Times" w:hAnsi="Times" w:cs="Times"/>
          <w:sz w:val="24"/>
          <w:szCs w:val="24"/>
        </w:rPr>
      </w:pPr>
      <w:r>
        <w:rPr>
          <w:rFonts w:ascii="Times" w:hAnsi="Times" w:cs="Times"/>
          <w:bCs/>
          <w:sz w:val="30"/>
          <w:szCs w:val="30"/>
        </w:rPr>
        <w:t>T</w:t>
      </w:r>
      <w:r w:rsidRPr="00FC3090">
        <w:rPr>
          <w:rFonts w:ascii="Times" w:hAnsi="Times" w:cs="Times"/>
          <w:bCs/>
          <w:sz w:val="30"/>
          <w:szCs w:val="30"/>
        </w:rPr>
        <w:t>here was a tendency for men to have higher bilirubin levels than women</w:t>
      </w:r>
      <w:r>
        <w:rPr>
          <w:rFonts w:ascii="Times" w:hAnsi="Times" w:cs="Times"/>
          <w:bCs/>
          <w:sz w:val="30"/>
          <w:szCs w:val="30"/>
        </w:rPr>
        <w:t xml:space="preserve">. </w:t>
      </w:r>
      <w:r w:rsidRPr="00FC3090">
        <w:rPr>
          <w:rFonts w:ascii="Times" w:hAnsi="Times" w:cs="Times"/>
          <w:bCs/>
          <w:sz w:val="30"/>
          <w:szCs w:val="30"/>
        </w:rPr>
        <w:t>T</w:t>
      </w:r>
      <w:r w:rsidRPr="00FC3090">
        <w:rPr>
          <w:rFonts w:ascii="Times" w:hAnsi="Times" w:cs="Times"/>
          <w:bCs/>
          <w:sz w:val="30"/>
          <w:szCs w:val="30"/>
        </w:rPr>
        <w:t>here is not strong evidence that age would confound the association between survival and bilirubin, but sex might.</w:t>
      </w:r>
      <w:r>
        <w:rPr>
          <w:rFonts w:ascii="Times" w:hAnsi="Times" w:cs="Times"/>
          <w:bCs/>
          <w:sz w:val="30"/>
          <w:szCs w:val="30"/>
        </w:rPr>
        <w:t xml:space="preserve"> -5pts</w:t>
      </w:r>
    </w:p>
  </w:comment>
  <w:comment w:id="9" w:author="Author" w:initials="A">
    <w:p w14:paraId="0B5FADC3" w14:textId="77777777" w:rsidR="00FC3090" w:rsidRDefault="00FC3090">
      <w:pPr>
        <w:pStyle w:val="CommentText"/>
      </w:pPr>
      <w:r>
        <w:rPr>
          <w:rStyle w:val="CommentReference"/>
        </w:rPr>
        <w:annotationRef/>
      </w:r>
      <w:r>
        <w:t>Problem 7(b): 8/10</w:t>
      </w:r>
    </w:p>
    <w:p w14:paraId="7099D31A" w14:textId="77777777" w:rsidR="00FC3090" w:rsidRDefault="00FC3090">
      <w:pPr>
        <w:pStyle w:val="CommentText"/>
      </w:pPr>
      <w:r>
        <w:t>The conclusions are correct, but need to check the reasoning. -2pts</w:t>
      </w:r>
    </w:p>
  </w:comment>
  <w:comment w:id="10" w:author="Author" w:initials="A">
    <w:p w14:paraId="58446E4D" w14:textId="77777777" w:rsidR="00FC3090" w:rsidRDefault="00FC3090">
      <w:pPr>
        <w:pStyle w:val="CommentText"/>
      </w:pPr>
      <w:r>
        <w:rPr>
          <w:rStyle w:val="CommentReference"/>
        </w:rPr>
        <w:annotationRef/>
      </w:r>
      <w:r>
        <w:t>Problem 7(c): 10/10</w:t>
      </w:r>
    </w:p>
  </w:comment>
  <w:comment w:id="11" w:author="Author" w:initials="A">
    <w:p w14:paraId="54486281" w14:textId="77777777" w:rsidR="00FC3090" w:rsidRDefault="00FC3090">
      <w:pPr>
        <w:pStyle w:val="CommentText"/>
      </w:pPr>
      <w:r>
        <w:rPr>
          <w:rStyle w:val="CommentReference"/>
        </w:rPr>
        <w:annotationRef/>
      </w:r>
      <w:r>
        <w:t>Problem 8: 10/10</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69991" w14:textId="77777777" w:rsidR="00267F31" w:rsidRDefault="00267F31" w:rsidP="00786D9A">
      <w:pPr>
        <w:spacing w:after="0" w:line="240" w:lineRule="auto"/>
      </w:pPr>
      <w:r>
        <w:separator/>
      </w:r>
    </w:p>
  </w:endnote>
  <w:endnote w:type="continuationSeparator" w:id="0">
    <w:p w14:paraId="3DC1FB10" w14:textId="77777777" w:rsidR="00267F31" w:rsidRDefault="00267F31" w:rsidP="0078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01316" w14:textId="77777777" w:rsidR="00267F31" w:rsidRDefault="00267F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A0DE" w14:textId="77777777" w:rsidR="00267F31" w:rsidRDefault="00267F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21DA" w14:textId="77777777" w:rsidR="00267F31" w:rsidRDefault="00267F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99C80" w14:textId="77777777" w:rsidR="00267F31" w:rsidRDefault="00267F31" w:rsidP="00786D9A">
      <w:pPr>
        <w:spacing w:after="0" w:line="240" w:lineRule="auto"/>
      </w:pPr>
      <w:r>
        <w:separator/>
      </w:r>
    </w:p>
  </w:footnote>
  <w:footnote w:type="continuationSeparator" w:id="0">
    <w:p w14:paraId="2E6CC843" w14:textId="77777777" w:rsidR="00267F31" w:rsidRDefault="00267F31" w:rsidP="00786D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52F1" w14:textId="77777777" w:rsidR="00267F31" w:rsidRDefault="00267F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7337B" w14:textId="77777777" w:rsidR="00267F31" w:rsidRDefault="00267F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E79AD" w14:textId="77777777" w:rsidR="00267F31" w:rsidRDefault="00267F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C7DC9"/>
    <w:multiLevelType w:val="hybridMultilevel"/>
    <w:tmpl w:val="A1E08706"/>
    <w:lvl w:ilvl="0" w:tplc="F96A1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65"/>
    <w:rsid w:val="00065DB9"/>
    <w:rsid w:val="00087DB8"/>
    <w:rsid w:val="00090B44"/>
    <w:rsid w:val="000947CD"/>
    <w:rsid w:val="000C3DC9"/>
    <w:rsid w:val="000D55C1"/>
    <w:rsid w:val="00101F42"/>
    <w:rsid w:val="0014278E"/>
    <w:rsid w:val="00146BC3"/>
    <w:rsid w:val="00170E87"/>
    <w:rsid w:val="001E1279"/>
    <w:rsid w:val="001E18AF"/>
    <w:rsid w:val="00231FB8"/>
    <w:rsid w:val="00267F31"/>
    <w:rsid w:val="002901CF"/>
    <w:rsid w:val="0031762E"/>
    <w:rsid w:val="00341F87"/>
    <w:rsid w:val="003C18D4"/>
    <w:rsid w:val="004121C1"/>
    <w:rsid w:val="00456E87"/>
    <w:rsid w:val="00465EA0"/>
    <w:rsid w:val="004A33A4"/>
    <w:rsid w:val="004A3CC4"/>
    <w:rsid w:val="004B1987"/>
    <w:rsid w:val="00511731"/>
    <w:rsid w:val="005763D1"/>
    <w:rsid w:val="006070B6"/>
    <w:rsid w:val="00650A30"/>
    <w:rsid w:val="006B771C"/>
    <w:rsid w:val="006C0F65"/>
    <w:rsid w:val="006D0617"/>
    <w:rsid w:val="006E5D5D"/>
    <w:rsid w:val="00767AA1"/>
    <w:rsid w:val="00786D9A"/>
    <w:rsid w:val="00822CA6"/>
    <w:rsid w:val="008322F8"/>
    <w:rsid w:val="00880598"/>
    <w:rsid w:val="00890DC3"/>
    <w:rsid w:val="008B5EC8"/>
    <w:rsid w:val="0091218B"/>
    <w:rsid w:val="0095131D"/>
    <w:rsid w:val="00970AA6"/>
    <w:rsid w:val="009722A3"/>
    <w:rsid w:val="00A22276"/>
    <w:rsid w:val="00A25BDB"/>
    <w:rsid w:val="00B5181D"/>
    <w:rsid w:val="00B94676"/>
    <w:rsid w:val="00BA7630"/>
    <w:rsid w:val="00C20C6C"/>
    <w:rsid w:val="00C25216"/>
    <w:rsid w:val="00C6347E"/>
    <w:rsid w:val="00CB6C3C"/>
    <w:rsid w:val="00D44A39"/>
    <w:rsid w:val="00DB1B83"/>
    <w:rsid w:val="00E251E8"/>
    <w:rsid w:val="00FC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9B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D9A"/>
  </w:style>
  <w:style w:type="paragraph" w:styleId="Footer">
    <w:name w:val="footer"/>
    <w:basedOn w:val="Normal"/>
    <w:link w:val="FooterChar"/>
    <w:uiPriority w:val="99"/>
    <w:unhideWhenUsed/>
    <w:rsid w:val="0078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D9A"/>
  </w:style>
  <w:style w:type="character" w:styleId="CommentReference">
    <w:name w:val="annotation reference"/>
    <w:basedOn w:val="DefaultParagraphFont"/>
    <w:uiPriority w:val="99"/>
    <w:semiHidden/>
    <w:unhideWhenUsed/>
    <w:rsid w:val="00267F31"/>
    <w:rPr>
      <w:sz w:val="18"/>
      <w:szCs w:val="18"/>
    </w:rPr>
  </w:style>
  <w:style w:type="paragraph" w:styleId="CommentText">
    <w:name w:val="annotation text"/>
    <w:basedOn w:val="Normal"/>
    <w:link w:val="CommentTextChar"/>
    <w:uiPriority w:val="99"/>
    <w:semiHidden/>
    <w:unhideWhenUsed/>
    <w:rsid w:val="00267F31"/>
    <w:pPr>
      <w:spacing w:line="240" w:lineRule="auto"/>
    </w:pPr>
    <w:rPr>
      <w:sz w:val="24"/>
      <w:szCs w:val="24"/>
    </w:rPr>
  </w:style>
  <w:style w:type="character" w:customStyle="1" w:styleId="CommentTextChar">
    <w:name w:val="Comment Text Char"/>
    <w:basedOn w:val="DefaultParagraphFont"/>
    <w:link w:val="CommentText"/>
    <w:uiPriority w:val="99"/>
    <w:semiHidden/>
    <w:rsid w:val="00267F31"/>
    <w:rPr>
      <w:sz w:val="24"/>
      <w:szCs w:val="24"/>
    </w:rPr>
  </w:style>
  <w:style w:type="paragraph" w:styleId="CommentSubject">
    <w:name w:val="annotation subject"/>
    <w:basedOn w:val="CommentText"/>
    <w:next w:val="CommentText"/>
    <w:link w:val="CommentSubjectChar"/>
    <w:uiPriority w:val="99"/>
    <w:semiHidden/>
    <w:unhideWhenUsed/>
    <w:rsid w:val="00267F31"/>
    <w:rPr>
      <w:b/>
      <w:bCs/>
      <w:sz w:val="20"/>
      <w:szCs w:val="20"/>
    </w:rPr>
  </w:style>
  <w:style w:type="character" w:customStyle="1" w:styleId="CommentSubjectChar">
    <w:name w:val="Comment Subject Char"/>
    <w:basedOn w:val="CommentTextChar"/>
    <w:link w:val="CommentSubject"/>
    <w:uiPriority w:val="99"/>
    <w:semiHidden/>
    <w:rsid w:val="00267F31"/>
    <w:rPr>
      <w:b/>
      <w:bCs/>
      <w:sz w:val="20"/>
      <w:szCs w:val="20"/>
    </w:rPr>
  </w:style>
  <w:style w:type="paragraph" w:styleId="BalloonText">
    <w:name w:val="Balloon Text"/>
    <w:basedOn w:val="Normal"/>
    <w:link w:val="BalloonTextChar"/>
    <w:uiPriority w:val="99"/>
    <w:semiHidden/>
    <w:unhideWhenUsed/>
    <w:rsid w:val="00267F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F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D9A"/>
  </w:style>
  <w:style w:type="paragraph" w:styleId="Footer">
    <w:name w:val="footer"/>
    <w:basedOn w:val="Normal"/>
    <w:link w:val="FooterChar"/>
    <w:uiPriority w:val="99"/>
    <w:unhideWhenUsed/>
    <w:rsid w:val="0078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D9A"/>
  </w:style>
  <w:style w:type="character" w:styleId="CommentReference">
    <w:name w:val="annotation reference"/>
    <w:basedOn w:val="DefaultParagraphFont"/>
    <w:uiPriority w:val="99"/>
    <w:semiHidden/>
    <w:unhideWhenUsed/>
    <w:rsid w:val="00267F31"/>
    <w:rPr>
      <w:sz w:val="18"/>
      <w:szCs w:val="18"/>
    </w:rPr>
  </w:style>
  <w:style w:type="paragraph" w:styleId="CommentText">
    <w:name w:val="annotation text"/>
    <w:basedOn w:val="Normal"/>
    <w:link w:val="CommentTextChar"/>
    <w:uiPriority w:val="99"/>
    <w:semiHidden/>
    <w:unhideWhenUsed/>
    <w:rsid w:val="00267F31"/>
    <w:pPr>
      <w:spacing w:line="240" w:lineRule="auto"/>
    </w:pPr>
    <w:rPr>
      <w:sz w:val="24"/>
      <w:szCs w:val="24"/>
    </w:rPr>
  </w:style>
  <w:style w:type="character" w:customStyle="1" w:styleId="CommentTextChar">
    <w:name w:val="Comment Text Char"/>
    <w:basedOn w:val="DefaultParagraphFont"/>
    <w:link w:val="CommentText"/>
    <w:uiPriority w:val="99"/>
    <w:semiHidden/>
    <w:rsid w:val="00267F31"/>
    <w:rPr>
      <w:sz w:val="24"/>
      <w:szCs w:val="24"/>
    </w:rPr>
  </w:style>
  <w:style w:type="paragraph" w:styleId="CommentSubject">
    <w:name w:val="annotation subject"/>
    <w:basedOn w:val="CommentText"/>
    <w:next w:val="CommentText"/>
    <w:link w:val="CommentSubjectChar"/>
    <w:uiPriority w:val="99"/>
    <w:semiHidden/>
    <w:unhideWhenUsed/>
    <w:rsid w:val="00267F31"/>
    <w:rPr>
      <w:b/>
      <w:bCs/>
      <w:sz w:val="20"/>
      <w:szCs w:val="20"/>
    </w:rPr>
  </w:style>
  <w:style w:type="character" w:customStyle="1" w:styleId="CommentSubjectChar">
    <w:name w:val="Comment Subject Char"/>
    <w:basedOn w:val="CommentTextChar"/>
    <w:link w:val="CommentSubject"/>
    <w:uiPriority w:val="99"/>
    <w:semiHidden/>
    <w:rsid w:val="00267F31"/>
    <w:rPr>
      <w:b/>
      <w:bCs/>
      <w:sz w:val="20"/>
      <w:szCs w:val="20"/>
    </w:rPr>
  </w:style>
  <w:style w:type="paragraph" w:styleId="BalloonText">
    <w:name w:val="Balloon Text"/>
    <w:basedOn w:val="Normal"/>
    <w:link w:val="BalloonTextChar"/>
    <w:uiPriority w:val="99"/>
    <w:semiHidden/>
    <w:unhideWhenUsed/>
    <w:rsid w:val="00267F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7F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10572</Characters>
  <Application>Microsoft Macintosh Word</Application>
  <DocSecurity>0</DocSecurity>
  <Lines>88</Lines>
  <Paragraphs>24</Paragraphs>
  <ScaleCrop>false</ScaleCrop>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2015-02-10T07:35:00Z</dcterms:created>
  <dcterms:modified xsi:type="dcterms:W3CDTF">2015-02-22T20:36:00Z</dcterms:modified>
</cp:coreProperties>
</file>