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01" w:rsidRPr="00AD2E71" w:rsidRDefault="00703501">
      <w:pPr>
        <w:rPr>
          <w:rFonts w:ascii="Arial" w:hAnsi="Arial" w:cs="Arial"/>
          <w:b/>
        </w:rPr>
      </w:pPr>
      <w:r w:rsidRPr="00AD2E71">
        <w:rPr>
          <w:rFonts w:ascii="Arial" w:hAnsi="Arial" w:cs="Arial"/>
          <w:b/>
        </w:rPr>
        <w:t>ID: 4934</w:t>
      </w:r>
      <w:r w:rsidRPr="00AD2E71">
        <w:rPr>
          <w:rFonts w:ascii="Arial" w:hAnsi="Arial" w:cs="Arial"/>
          <w:b/>
        </w:rPr>
        <w:br/>
        <w:t>Homework 04</w:t>
      </w:r>
      <w:r w:rsidRPr="00AD2E71">
        <w:rPr>
          <w:rFonts w:ascii="Arial" w:hAnsi="Arial" w:cs="Arial"/>
          <w:b/>
        </w:rPr>
        <w:br/>
        <w:t xml:space="preserve">BIOST 515/518 </w:t>
      </w:r>
    </w:p>
    <w:p w:rsidR="00703501" w:rsidRPr="00AD2E71" w:rsidRDefault="00703501">
      <w:pPr>
        <w:rPr>
          <w:rFonts w:ascii="Arial" w:hAnsi="Arial" w:cs="Arial"/>
          <w:b/>
          <w:u w:val="single"/>
        </w:rPr>
      </w:pPr>
      <w:r w:rsidRPr="00AD2E71">
        <w:rPr>
          <w:rFonts w:ascii="Arial" w:hAnsi="Arial" w:cs="Arial"/>
          <w:u w:val="single"/>
        </w:rPr>
        <w:t>Question 1</w:t>
      </w:r>
    </w:p>
    <w:p w:rsidR="00703501" w:rsidRPr="00AD2E71" w:rsidRDefault="00703501">
      <w:pPr>
        <w:rPr>
          <w:rFonts w:ascii="Arial" w:hAnsi="Arial" w:cs="Arial"/>
        </w:rPr>
      </w:pPr>
      <w:r w:rsidRPr="00AD2E71">
        <w:rPr>
          <w:rFonts w:ascii="Arial" w:hAnsi="Arial" w:cs="Arial"/>
          <w:b/>
        </w:rPr>
        <w:t xml:space="preserve">Methods: </w:t>
      </w:r>
      <w:r w:rsidRPr="00AD2E71">
        <w:rPr>
          <w:rFonts w:ascii="Arial" w:hAnsi="Arial" w:cs="Arial"/>
        </w:rPr>
        <w:t xml:space="preserve">Descriptive statistics were computed using the distribution of censoring as well as the serum bilirubin levels. Censoring statistics included the minimum and maximum censoring </w:t>
      </w:r>
      <w:r w:rsidR="002B2DFD" w:rsidRPr="00AD2E71">
        <w:rPr>
          <w:rFonts w:ascii="Arial" w:hAnsi="Arial" w:cs="Arial"/>
        </w:rPr>
        <w:t>times and</w:t>
      </w:r>
      <w:r w:rsidR="00EB0BE6" w:rsidRPr="00AD2E71">
        <w:rPr>
          <w:rFonts w:ascii="Arial" w:hAnsi="Arial" w:cs="Arial"/>
        </w:rPr>
        <w:t xml:space="preserve"> the</w:t>
      </w:r>
      <w:r w:rsidR="002B2DFD" w:rsidRPr="00AD2E71">
        <w:rPr>
          <w:rFonts w:ascii="Arial" w:hAnsi="Arial" w:cs="Arial"/>
        </w:rPr>
        <w:t xml:space="preserve"> Kaplan-Meier-</w:t>
      </w:r>
      <w:r w:rsidRPr="00AD2E71">
        <w:rPr>
          <w:rFonts w:ascii="Arial" w:hAnsi="Arial" w:cs="Arial"/>
        </w:rPr>
        <w:t>derived</w:t>
      </w:r>
      <w:r w:rsidR="00EB0BE6" w:rsidRPr="00AD2E71">
        <w:rPr>
          <w:rFonts w:ascii="Arial" w:hAnsi="Arial" w:cs="Arial"/>
        </w:rPr>
        <w:t xml:space="preserve"> estimate of </w:t>
      </w:r>
      <w:r w:rsidRPr="00AD2E71">
        <w:rPr>
          <w:rFonts w:ascii="Arial" w:hAnsi="Arial" w:cs="Arial"/>
        </w:rPr>
        <w:t xml:space="preserve">mean-follow-up time. Bilirubin statistics included minimum, maximum, percentiles, as well as the mean and standard deviation.  For an initial description of survival, we categorized serum bilirubin into categories representing a roughly two fold difference between categories, that is, 0-2 mg/dl, 2-4 mg/dl, 4-8mg/dl, 8-16mg/dl, and 16-28 mg/dl. </w:t>
      </w:r>
      <w:r w:rsidR="002B2DFD" w:rsidRPr="00AD2E71">
        <w:rPr>
          <w:rFonts w:ascii="Arial" w:hAnsi="Arial" w:cs="Arial"/>
        </w:rPr>
        <w:t>Within categories, we estimated survival at 2, 5, and 10 years using Kaplan-Meier methods</w:t>
      </w:r>
      <w:r w:rsidR="001041A3" w:rsidRPr="00AD2E71">
        <w:rPr>
          <w:rFonts w:ascii="Arial" w:hAnsi="Arial" w:cs="Arial"/>
        </w:rPr>
        <w:t xml:space="preserve"> as well as the 10</w:t>
      </w:r>
      <w:r w:rsidR="001041A3" w:rsidRPr="00AD2E71">
        <w:rPr>
          <w:rFonts w:ascii="Arial" w:hAnsi="Arial" w:cs="Arial"/>
          <w:vertAlign w:val="superscript"/>
        </w:rPr>
        <w:t>th</w:t>
      </w:r>
      <w:r w:rsidR="001041A3" w:rsidRPr="00AD2E71">
        <w:rPr>
          <w:rFonts w:ascii="Arial" w:hAnsi="Arial" w:cs="Arial"/>
        </w:rPr>
        <w:t xml:space="preserve"> percentile of the observations</w:t>
      </w:r>
      <w:r w:rsidR="002B2DFD" w:rsidRPr="00AD2E71">
        <w:rPr>
          <w:rFonts w:ascii="Arial" w:hAnsi="Arial" w:cs="Arial"/>
        </w:rPr>
        <w:t xml:space="preserve">. We also calculated the restricted mean survival given that all strata of bilirubin had participants remaining at risk around </w:t>
      </w:r>
      <w:r w:rsidR="00F658D2" w:rsidRPr="00AD2E71">
        <w:rPr>
          <w:rFonts w:ascii="Arial" w:hAnsi="Arial" w:cs="Arial"/>
        </w:rPr>
        <w:t>6.00</w:t>
      </w:r>
      <w:r w:rsidR="002B2DFD" w:rsidRPr="00AD2E71">
        <w:rPr>
          <w:rFonts w:ascii="Arial" w:hAnsi="Arial" w:cs="Arial"/>
        </w:rPr>
        <w:t xml:space="preserve"> years. </w:t>
      </w:r>
      <w:r w:rsidR="001041A3" w:rsidRPr="00AD2E71">
        <w:rPr>
          <w:rFonts w:ascii="Arial" w:hAnsi="Arial" w:cs="Arial"/>
        </w:rPr>
        <w:t xml:space="preserve"> Mean age and proportion female sex were included as they will be considered as potential confounders, effect modifiers, and precision variables. </w:t>
      </w:r>
    </w:p>
    <w:p w:rsidR="00703501" w:rsidRPr="00AD2E71" w:rsidRDefault="00703501">
      <w:pPr>
        <w:rPr>
          <w:rFonts w:ascii="Arial" w:hAnsi="Arial" w:cs="Arial"/>
        </w:rPr>
      </w:pPr>
      <w:r w:rsidRPr="00AD2E71">
        <w:rPr>
          <w:rFonts w:ascii="Arial" w:hAnsi="Arial" w:cs="Arial"/>
          <w:b/>
        </w:rPr>
        <w:t xml:space="preserve">Descriptives: </w:t>
      </w:r>
      <w:r w:rsidR="002B2DFD" w:rsidRPr="00AD2E71">
        <w:rPr>
          <w:rFonts w:ascii="Arial" w:hAnsi="Arial" w:cs="Arial"/>
        </w:rPr>
        <w:t xml:space="preserve">The sample was comprised of </w:t>
      </w:r>
      <w:r w:rsidR="00A7257C" w:rsidRPr="00AD2E71">
        <w:rPr>
          <w:rFonts w:ascii="Arial" w:hAnsi="Arial" w:cs="Arial"/>
        </w:rPr>
        <w:t>4</w:t>
      </w:r>
      <w:r w:rsidR="00EB0BE6" w:rsidRPr="00AD2E71">
        <w:rPr>
          <w:rFonts w:ascii="Arial" w:hAnsi="Arial" w:cs="Arial"/>
        </w:rPr>
        <w:t>1</w:t>
      </w:r>
      <w:r w:rsidR="00A7257C" w:rsidRPr="00AD2E71">
        <w:rPr>
          <w:rFonts w:ascii="Arial" w:hAnsi="Arial" w:cs="Arial"/>
        </w:rPr>
        <w:t xml:space="preserve">8 individuals evaluated over a mean of </w:t>
      </w:r>
      <w:r w:rsidR="00345550" w:rsidRPr="00AD2E71">
        <w:rPr>
          <w:rFonts w:ascii="Arial" w:hAnsi="Arial" w:cs="Arial"/>
        </w:rPr>
        <w:t>8.35</w:t>
      </w:r>
      <w:r w:rsidR="00A7257C" w:rsidRPr="00AD2E71">
        <w:rPr>
          <w:rFonts w:ascii="Arial" w:hAnsi="Arial" w:cs="Arial"/>
        </w:rPr>
        <w:t xml:space="preserve"> years (</w:t>
      </w:r>
      <w:r w:rsidR="00EB0BE6" w:rsidRPr="00AD2E71">
        <w:rPr>
          <w:rFonts w:ascii="Arial" w:hAnsi="Arial" w:cs="Arial"/>
        </w:rPr>
        <w:t xml:space="preserve">median </w:t>
      </w:r>
      <w:r w:rsidR="00345550" w:rsidRPr="00AD2E71">
        <w:rPr>
          <w:rFonts w:ascii="Arial" w:hAnsi="Arial" w:cs="Arial"/>
        </w:rPr>
        <w:t xml:space="preserve">9.30, </w:t>
      </w:r>
      <w:r w:rsidR="00EB0BE6" w:rsidRPr="00AD2E71">
        <w:rPr>
          <w:rFonts w:ascii="Arial" w:hAnsi="Arial" w:cs="Arial"/>
        </w:rPr>
        <w:t xml:space="preserve">range </w:t>
      </w:r>
      <w:r w:rsidR="00345550" w:rsidRPr="00AD2E71">
        <w:rPr>
          <w:rFonts w:ascii="Arial" w:hAnsi="Arial" w:cs="Arial"/>
        </w:rPr>
        <w:t>3.87-13.13)</w:t>
      </w:r>
      <w:r w:rsidR="00A7257C" w:rsidRPr="00AD2E71">
        <w:rPr>
          <w:rFonts w:ascii="Arial" w:hAnsi="Arial" w:cs="Arial"/>
        </w:rPr>
        <w:t xml:space="preserve">. </w:t>
      </w:r>
      <w:r w:rsidR="00345550" w:rsidRPr="00AD2E71">
        <w:rPr>
          <w:rFonts w:ascii="Arial" w:hAnsi="Arial" w:cs="Arial"/>
        </w:rPr>
        <w:t>A total of</w:t>
      </w:r>
      <w:r w:rsidR="00EB0BE6" w:rsidRPr="00AD2E71">
        <w:rPr>
          <w:rFonts w:ascii="Arial" w:hAnsi="Arial" w:cs="Arial"/>
        </w:rPr>
        <w:t xml:space="preserve"> 161</w:t>
      </w:r>
      <w:r w:rsidR="00345550" w:rsidRPr="00AD2E71">
        <w:rPr>
          <w:rFonts w:ascii="Arial" w:hAnsi="Arial" w:cs="Arial"/>
        </w:rPr>
        <w:t xml:space="preserve"> </w:t>
      </w:r>
      <w:r w:rsidR="00EB0BE6" w:rsidRPr="00AD2E71">
        <w:rPr>
          <w:rFonts w:ascii="Arial" w:hAnsi="Arial" w:cs="Arial"/>
        </w:rPr>
        <w:t xml:space="preserve">deaths were observed over this period. All participants provided valid measures of serum bilirubin. Mean bilirubin was 3.22 mg/dl (SD 4.41, range 0.3-28, median 1.4). </w:t>
      </w:r>
      <w:r w:rsidR="00F658D2" w:rsidRPr="00AD2E71">
        <w:rPr>
          <w:rFonts w:ascii="Arial" w:hAnsi="Arial" w:cs="Arial"/>
        </w:rPr>
        <w:t xml:space="preserve"> </w:t>
      </w:r>
    </w:p>
    <w:p w:rsidR="00F658D2" w:rsidRPr="00AD2E71" w:rsidRDefault="00F658D2">
      <w:pPr>
        <w:rPr>
          <w:rFonts w:ascii="Arial" w:hAnsi="Arial" w:cs="Arial"/>
        </w:rPr>
      </w:pPr>
      <w:r w:rsidRPr="00AD2E71">
        <w:rPr>
          <w:rFonts w:ascii="Arial" w:hAnsi="Arial" w:cs="Arial"/>
        </w:rPr>
        <w:t xml:space="preserve">As shown in the table below, groups </w:t>
      </w:r>
      <w:r w:rsidR="00FC72A9" w:rsidRPr="00AD2E71">
        <w:rPr>
          <w:rFonts w:ascii="Arial" w:hAnsi="Arial" w:cs="Arial"/>
        </w:rPr>
        <w:t xml:space="preserve">with </w:t>
      </w:r>
      <w:r w:rsidRPr="00AD2E71">
        <w:rPr>
          <w:rFonts w:ascii="Arial" w:hAnsi="Arial" w:cs="Arial"/>
        </w:rPr>
        <w:t>higher serum bilirubin showed decline in survival relative to groups with lower serum bilirubin. The two-year survival for the group with greater than 16 mg/</w:t>
      </w:r>
      <w:proofErr w:type="spellStart"/>
      <w:r w:rsidRPr="00AD2E71">
        <w:rPr>
          <w:rFonts w:ascii="Arial" w:hAnsi="Arial" w:cs="Arial"/>
        </w:rPr>
        <w:t>dL</w:t>
      </w:r>
      <w:proofErr w:type="spellEnd"/>
      <w:r w:rsidRPr="00AD2E71">
        <w:rPr>
          <w:rFonts w:ascii="Arial" w:hAnsi="Arial" w:cs="Arial"/>
        </w:rPr>
        <w:t xml:space="preserve"> bilirubin was less than 63%. </w:t>
      </w:r>
      <w:r w:rsidR="00FC72A9" w:rsidRPr="00AD2E71">
        <w:rPr>
          <w:rFonts w:ascii="Arial" w:hAnsi="Arial" w:cs="Arial"/>
        </w:rPr>
        <w:t>The subgroup with the highest probability of two-year survival was the group with the lowest serum bilirubin (0-2 mg/</w:t>
      </w:r>
      <w:proofErr w:type="spellStart"/>
      <w:r w:rsidR="00FC72A9" w:rsidRPr="00AD2E71">
        <w:rPr>
          <w:rFonts w:ascii="Arial" w:hAnsi="Arial" w:cs="Arial"/>
        </w:rPr>
        <w:t>dL</w:t>
      </w:r>
      <w:proofErr w:type="spellEnd"/>
      <w:r w:rsidR="00FC72A9" w:rsidRPr="00AD2E71">
        <w:rPr>
          <w:rFonts w:ascii="Arial" w:hAnsi="Arial" w:cs="Arial"/>
        </w:rPr>
        <w:t xml:space="preserve">). The average survival over the first six years of the study was 4.9 years overall. Among the serum bilirubin groups, six-year mean survival ranged from 2.19 to 5.65 years, with the group with the highest bilirubin having worst average survival (2.83 years). </w:t>
      </w:r>
    </w:p>
    <w:p w:rsidR="00B05825" w:rsidRPr="00AD2E71" w:rsidRDefault="00B05825">
      <w:pPr>
        <w:rPr>
          <w:rFonts w:ascii="Arial" w:hAnsi="Arial" w:cs="Arial"/>
        </w:rPr>
      </w:pPr>
      <w:r w:rsidRPr="00AD2E71">
        <w:rPr>
          <w:rFonts w:ascii="Arial" w:hAnsi="Arial" w:cs="Arial"/>
        </w:rPr>
        <w:t>A Kaplan-Meier plot of survival is shown in the figure below. Here we observe that the distribution of survival varies greatly with serum bilirubin level. In particular, groups with higher serum bilirubin having a more rapid decline in survival, while lower bilirubin groups show more modest decline.</w:t>
      </w:r>
    </w:p>
    <w:tbl>
      <w:tblPr>
        <w:tblStyle w:val="TableGrid"/>
        <w:tblW w:w="10197" w:type="dxa"/>
        <w:tblLook w:val="04A0" w:firstRow="1" w:lastRow="0" w:firstColumn="1" w:lastColumn="0" w:noHBand="0" w:noVBand="1"/>
      </w:tblPr>
      <w:tblGrid>
        <w:gridCol w:w="1008"/>
        <w:gridCol w:w="1530"/>
        <w:gridCol w:w="1800"/>
        <w:gridCol w:w="1620"/>
        <w:gridCol w:w="1440"/>
        <w:gridCol w:w="1356"/>
        <w:gridCol w:w="1443"/>
      </w:tblGrid>
      <w:tr w:rsidR="00031FED" w:rsidRPr="00AD2E71" w:rsidTr="00436B88">
        <w:trPr>
          <w:trHeight w:val="200"/>
        </w:trPr>
        <w:tc>
          <w:tcPr>
            <w:tcW w:w="1008" w:type="dxa"/>
            <w:vAlign w:val="center"/>
          </w:tcPr>
          <w:p w:rsidR="00031FED" w:rsidRPr="00AD2E71" w:rsidRDefault="00031FED" w:rsidP="00A23EF8">
            <w:pPr>
              <w:jc w:val="center"/>
              <w:rPr>
                <w:rFonts w:ascii="Arial" w:hAnsi="Arial" w:cs="Arial"/>
                <w:sz w:val="14"/>
                <w:szCs w:val="14"/>
              </w:rPr>
            </w:pPr>
          </w:p>
        </w:tc>
        <w:tc>
          <w:tcPr>
            <w:tcW w:w="1530" w:type="dxa"/>
            <w:vMerge w:val="restart"/>
            <w:vAlign w:val="center"/>
          </w:tcPr>
          <w:p w:rsidR="00031FED" w:rsidRPr="00AD2E71" w:rsidRDefault="00031FED" w:rsidP="00A23EF8">
            <w:pPr>
              <w:jc w:val="center"/>
              <w:rPr>
                <w:rFonts w:ascii="Arial" w:hAnsi="Arial" w:cs="Arial"/>
                <w:sz w:val="14"/>
                <w:szCs w:val="14"/>
              </w:rPr>
            </w:pPr>
            <w:r w:rsidRPr="00AD2E71">
              <w:rPr>
                <w:rFonts w:ascii="Arial" w:hAnsi="Arial" w:cs="Arial"/>
                <w:sz w:val="14"/>
                <w:szCs w:val="14"/>
              </w:rPr>
              <w:t>All Participants</w:t>
            </w:r>
          </w:p>
        </w:tc>
        <w:tc>
          <w:tcPr>
            <w:tcW w:w="7659" w:type="dxa"/>
            <w:gridSpan w:val="5"/>
            <w:vAlign w:val="center"/>
          </w:tcPr>
          <w:p w:rsidR="00031FED" w:rsidRPr="00AD2E71" w:rsidRDefault="00031FED" w:rsidP="00A23EF8">
            <w:pPr>
              <w:jc w:val="center"/>
              <w:rPr>
                <w:rFonts w:ascii="Arial" w:hAnsi="Arial" w:cs="Arial"/>
                <w:sz w:val="14"/>
                <w:szCs w:val="14"/>
              </w:rPr>
            </w:pPr>
            <w:r w:rsidRPr="00AD2E71">
              <w:rPr>
                <w:rFonts w:ascii="Arial" w:hAnsi="Arial" w:cs="Arial"/>
                <w:sz w:val="14"/>
                <w:szCs w:val="14"/>
              </w:rPr>
              <w:t>Serum bilirubin (mg/</w:t>
            </w:r>
            <w:proofErr w:type="spellStart"/>
            <w:r w:rsidRPr="00AD2E71">
              <w:rPr>
                <w:rFonts w:ascii="Arial" w:hAnsi="Arial" w:cs="Arial"/>
                <w:sz w:val="14"/>
                <w:szCs w:val="14"/>
              </w:rPr>
              <w:t>dL</w:t>
            </w:r>
            <w:proofErr w:type="spellEnd"/>
            <w:r w:rsidRPr="00AD2E71">
              <w:rPr>
                <w:rFonts w:ascii="Arial" w:hAnsi="Arial" w:cs="Arial"/>
                <w:sz w:val="14"/>
                <w:szCs w:val="14"/>
              </w:rPr>
              <w:t>)</w:t>
            </w:r>
          </w:p>
        </w:tc>
      </w:tr>
      <w:tr w:rsidR="00031FED" w:rsidRPr="00AD2E71" w:rsidTr="00436B88">
        <w:trPr>
          <w:trHeight w:val="278"/>
        </w:trPr>
        <w:tc>
          <w:tcPr>
            <w:tcW w:w="1008" w:type="dxa"/>
            <w:vAlign w:val="center"/>
          </w:tcPr>
          <w:p w:rsidR="00031FED" w:rsidRPr="00AD2E71" w:rsidRDefault="00031FED" w:rsidP="00A23EF8">
            <w:pPr>
              <w:jc w:val="center"/>
              <w:rPr>
                <w:rFonts w:ascii="Arial" w:hAnsi="Arial" w:cs="Arial"/>
                <w:sz w:val="14"/>
                <w:szCs w:val="14"/>
              </w:rPr>
            </w:pPr>
          </w:p>
        </w:tc>
        <w:tc>
          <w:tcPr>
            <w:tcW w:w="1530" w:type="dxa"/>
            <w:vMerge/>
            <w:vAlign w:val="center"/>
          </w:tcPr>
          <w:p w:rsidR="00031FED" w:rsidRPr="00AD2E71" w:rsidRDefault="00031FED" w:rsidP="00A23EF8">
            <w:pPr>
              <w:jc w:val="center"/>
              <w:rPr>
                <w:rFonts w:ascii="Arial" w:hAnsi="Arial" w:cs="Arial"/>
                <w:sz w:val="14"/>
                <w:szCs w:val="14"/>
              </w:rPr>
            </w:pPr>
          </w:p>
        </w:tc>
        <w:tc>
          <w:tcPr>
            <w:tcW w:w="1800" w:type="dxa"/>
            <w:vAlign w:val="center"/>
          </w:tcPr>
          <w:p w:rsidR="00031FED" w:rsidRPr="00AD2E71" w:rsidRDefault="00031FED" w:rsidP="00A23EF8">
            <w:pPr>
              <w:jc w:val="center"/>
              <w:rPr>
                <w:rFonts w:ascii="Arial" w:hAnsi="Arial" w:cs="Arial"/>
                <w:sz w:val="14"/>
                <w:szCs w:val="14"/>
              </w:rPr>
            </w:pPr>
            <w:r w:rsidRPr="00AD2E71">
              <w:rPr>
                <w:rFonts w:ascii="Arial" w:hAnsi="Arial" w:cs="Arial"/>
                <w:sz w:val="14"/>
                <w:szCs w:val="14"/>
              </w:rPr>
              <w:t>0-1.99</w:t>
            </w:r>
          </w:p>
        </w:tc>
        <w:tc>
          <w:tcPr>
            <w:tcW w:w="1620" w:type="dxa"/>
            <w:vAlign w:val="center"/>
          </w:tcPr>
          <w:p w:rsidR="00031FED" w:rsidRPr="00AD2E71" w:rsidRDefault="00031FED" w:rsidP="00A23EF8">
            <w:pPr>
              <w:jc w:val="center"/>
              <w:rPr>
                <w:rFonts w:ascii="Arial" w:hAnsi="Arial" w:cs="Arial"/>
                <w:sz w:val="14"/>
                <w:szCs w:val="14"/>
              </w:rPr>
            </w:pPr>
            <w:r w:rsidRPr="00AD2E71">
              <w:rPr>
                <w:rFonts w:ascii="Arial" w:hAnsi="Arial" w:cs="Arial"/>
                <w:sz w:val="14"/>
                <w:szCs w:val="14"/>
              </w:rPr>
              <w:t>2-3.99</w:t>
            </w:r>
          </w:p>
        </w:tc>
        <w:tc>
          <w:tcPr>
            <w:tcW w:w="1440" w:type="dxa"/>
            <w:vAlign w:val="center"/>
          </w:tcPr>
          <w:p w:rsidR="00031FED" w:rsidRPr="00AD2E71" w:rsidRDefault="00031FED" w:rsidP="00A23EF8">
            <w:pPr>
              <w:jc w:val="center"/>
              <w:rPr>
                <w:rFonts w:ascii="Arial" w:hAnsi="Arial" w:cs="Arial"/>
                <w:sz w:val="14"/>
                <w:szCs w:val="14"/>
              </w:rPr>
            </w:pPr>
            <w:r w:rsidRPr="00AD2E71">
              <w:rPr>
                <w:rFonts w:ascii="Arial" w:hAnsi="Arial" w:cs="Arial"/>
                <w:sz w:val="14"/>
                <w:szCs w:val="14"/>
              </w:rPr>
              <w:t>4-7.99</w:t>
            </w:r>
          </w:p>
        </w:tc>
        <w:tc>
          <w:tcPr>
            <w:tcW w:w="1356" w:type="dxa"/>
            <w:vAlign w:val="center"/>
          </w:tcPr>
          <w:p w:rsidR="00031FED" w:rsidRPr="00AD2E71" w:rsidRDefault="00031FED" w:rsidP="00A23EF8">
            <w:pPr>
              <w:jc w:val="center"/>
              <w:rPr>
                <w:rFonts w:ascii="Arial" w:hAnsi="Arial" w:cs="Arial"/>
                <w:sz w:val="14"/>
                <w:szCs w:val="14"/>
              </w:rPr>
            </w:pPr>
            <w:r w:rsidRPr="00AD2E71">
              <w:rPr>
                <w:rFonts w:ascii="Arial" w:hAnsi="Arial" w:cs="Arial"/>
                <w:sz w:val="14"/>
                <w:szCs w:val="14"/>
              </w:rPr>
              <w:t>8-15.99</w:t>
            </w:r>
          </w:p>
        </w:tc>
        <w:tc>
          <w:tcPr>
            <w:tcW w:w="1443" w:type="dxa"/>
            <w:vAlign w:val="center"/>
          </w:tcPr>
          <w:p w:rsidR="00031FED" w:rsidRPr="00AD2E71" w:rsidRDefault="00031FED" w:rsidP="00A23EF8">
            <w:pPr>
              <w:jc w:val="center"/>
              <w:rPr>
                <w:rFonts w:ascii="Arial" w:hAnsi="Arial" w:cs="Arial"/>
                <w:sz w:val="14"/>
                <w:szCs w:val="14"/>
              </w:rPr>
            </w:pPr>
            <w:r w:rsidRPr="00AD2E71">
              <w:rPr>
                <w:rFonts w:ascii="Arial" w:hAnsi="Arial" w:cs="Arial"/>
                <w:sz w:val="14"/>
                <w:szCs w:val="14"/>
              </w:rPr>
              <w:t>16+</w:t>
            </w:r>
          </w:p>
        </w:tc>
      </w:tr>
      <w:tr w:rsidR="00A23EF8" w:rsidRPr="00AD2E71" w:rsidTr="00436B88">
        <w:trPr>
          <w:trHeight w:val="192"/>
        </w:trPr>
        <w:tc>
          <w:tcPr>
            <w:tcW w:w="1008"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N</w:t>
            </w:r>
          </w:p>
        </w:tc>
        <w:tc>
          <w:tcPr>
            <w:tcW w:w="153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418</w:t>
            </w:r>
          </w:p>
        </w:tc>
        <w:tc>
          <w:tcPr>
            <w:tcW w:w="180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249</w:t>
            </w:r>
          </w:p>
        </w:tc>
        <w:tc>
          <w:tcPr>
            <w:tcW w:w="162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78</w:t>
            </w:r>
          </w:p>
        </w:tc>
        <w:tc>
          <w:tcPr>
            <w:tcW w:w="144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48</w:t>
            </w:r>
          </w:p>
        </w:tc>
        <w:tc>
          <w:tcPr>
            <w:tcW w:w="1356"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27</w:t>
            </w:r>
          </w:p>
        </w:tc>
        <w:tc>
          <w:tcPr>
            <w:tcW w:w="1443"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16</w:t>
            </w:r>
          </w:p>
        </w:tc>
      </w:tr>
      <w:tr w:rsidR="00031FED" w:rsidRPr="00AD2E71" w:rsidTr="00436B88">
        <w:trPr>
          <w:trHeight w:val="548"/>
        </w:trPr>
        <w:tc>
          <w:tcPr>
            <w:tcW w:w="1008" w:type="dxa"/>
            <w:vAlign w:val="center"/>
          </w:tcPr>
          <w:p w:rsidR="00031FED" w:rsidRPr="00AD2E71" w:rsidRDefault="00031FED" w:rsidP="00031FED">
            <w:pPr>
              <w:jc w:val="center"/>
              <w:rPr>
                <w:rFonts w:ascii="Arial" w:hAnsi="Arial" w:cs="Arial"/>
                <w:sz w:val="14"/>
                <w:szCs w:val="14"/>
              </w:rPr>
            </w:pPr>
            <w:r w:rsidRPr="00AD2E71">
              <w:rPr>
                <w:rFonts w:ascii="Arial" w:hAnsi="Arial" w:cs="Arial"/>
                <w:sz w:val="14"/>
                <w:szCs w:val="14"/>
              </w:rPr>
              <w:t>Age (</w:t>
            </w:r>
            <w:proofErr w:type="spellStart"/>
            <w:r w:rsidRPr="00AD2E71">
              <w:rPr>
                <w:rFonts w:ascii="Arial" w:hAnsi="Arial" w:cs="Arial"/>
                <w:sz w:val="14"/>
                <w:szCs w:val="14"/>
              </w:rPr>
              <w:t>yrs</w:t>
            </w:r>
            <w:proofErr w:type="spellEnd"/>
            <w:r w:rsidRPr="00AD2E71">
              <w:rPr>
                <w:rFonts w:ascii="Arial" w:hAnsi="Arial" w:cs="Arial"/>
                <w:sz w:val="14"/>
                <w:szCs w:val="14"/>
              </w:rPr>
              <w:t>)</w:t>
            </w:r>
            <w:r w:rsidR="0034684F" w:rsidRPr="00AD2E71">
              <w:rPr>
                <w:rFonts w:ascii="Arial" w:hAnsi="Arial" w:cs="Arial"/>
                <w:sz w:val="14"/>
                <w:szCs w:val="14"/>
              </w:rPr>
              <w:t>*</w:t>
            </w:r>
          </w:p>
        </w:tc>
        <w:tc>
          <w:tcPr>
            <w:tcW w:w="1530" w:type="dxa"/>
            <w:vAlign w:val="center"/>
          </w:tcPr>
          <w:p w:rsidR="00031FED" w:rsidRPr="00AD2E71" w:rsidRDefault="00031FED" w:rsidP="00031FED">
            <w:pPr>
              <w:jc w:val="center"/>
              <w:rPr>
                <w:rFonts w:ascii="Arial" w:hAnsi="Arial" w:cs="Arial"/>
                <w:sz w:val="14"/>
                <w:szCs w:val="14"/>
              </w:rPr>
            </w:pPr>
            <w:r w:rsidRPr="00AD2E71">
              <w:rPr>
                <w:rFonts w:ascii="Arial" w:hAnsi="Arial" w:cs="Arial"/>
                <w:sz w:val="14"/>
                <w:szCs w:val="14"/>
              </w:rPr>
              <w:t xml:space="preserve">50.74 (10.45, 26-78) </w:t>
            </w:r>
          </w:p>
        </w:tc>
        <w:tc>
          <w:tcPr>
            <w:tcW w:w="1800" w:type="dxa"/>
            <w:vAlign w:val="center"/>
          </w:tcPr>
          <w:p w:rsidR="00031FED" w:rsidRPr="00AD2E71" w:rsidRDefault="00031FED" w:rsidP="00031FED">
            <w:pPr>
              <w:jc w:val="center"/>
              <w:rPr>
                <w:rFonts w:ascii="Arial" w:hAnsi="Arial" w:cs="Arial"/>
                <w:sz w:val="14"/>
                <w:szCs w:val="14"/>
              </w:rPr>
            </w:pPr>
            <w:r w:rsidRPr="00AD2E71">
              <w:rPr>
                <w:rFonts w:ascii="Arial" w:hAnsi="Arial" w:cs="Arial"/>
                <w:sz w:val="14"/>
                <w:szCs w:val="14"/>
              </w:rPr>
              <w:t>50.92 (10.22, 26-77)</w:t>
            </w:r>
          </w:p>
        </w:tc>
        <w:tc>
          <w:tcPr>
            <w:tcW w:w="1620" w:type="dxa"/>
            <w:vAlign w:val="center"/>
          </w:tcPr>
          <w:p w:rsidR="00031FED" w:rsidRPr="00AD2E71" w:rsidRDefault="00031FED" w:rsidP="00031FED">
            <w:pPr>
              <w:jc w:val="center"/>
              <w:rPr>
                <w:rFonts w:ascii="Arial" w:hAnsi="Arial" w:cs="Arial"/>
                <w:sz w:val="14"/>
                <w:szCs w:val="14"/>
              </w:rPr>
            </w:pPr>
            <w:r w:rsidRPr="00AD2E71">
              <w:rPr>
                <w:rFonts w:ascii="Arial" w:hAnsi="Arial" w:cs="Arial"/>
                <w:sz w:val="14"/>
                <w:szCs w:val="14"/>
              </w:rPr>
              <w:t>50.16 (11.35, 30-72)</w:t>
            </w:r>
          </w:p>
        </w:tc>
        <w:tc>
          <w:tcPr>
            <w:tcW w:w="1440" w:type="dxa"/>
            <w:vAlign w:val="center"/>
          </w:tcPr>
          <w:p w:rsidR="00031FED" w:rsidRPr="00AD2E71" w:rsidRDefault="00031FED" w:rsidP="00031FED">
            <w:pPr>
              <w:jc w:val="center"/>
              <w:rPr>
                <w:rFonts w:ascii="Arial" w:hAnsi="Arial" w:cs="Arial"/>
                <w:sz w:val="14"/>
                <w:szCs w:val="14"/>
              </w:rPr>
            </w:pPr>
            <w:r w:rsidRPr="00AD2E71">
              <w:rPr>
                <w:rFonts w:ascii="Arial" w:hAnsi="Arial" w:cs="Arial"/>
                <w:sz w:val="14"/>
                <w:szCs w:val="14"/>
              </w:rPr>
              <w:t>50.91 (11.64,31-78)</w:t>
            </w:r>
          </w:p>
        </w:tc>
        <w:tc>
          <w:tcPr>
            <w:tcW w:w="1356" w:type="dxa"/>
            <w:vAlign w:val="center"/>
          </w:tcPr>
          <w:p w:rsidR="00031FED" w:rsidRPr="00AD2E71" w:rsidRDefault="00031FED" w:rsidP="00031FED">
            <w:pPr>
              <w:jc w:val="center"/>
              <w:rPr>
                <w:rFonts w:ascii="Arial" w:hAnsi="Arial" w:cs="Arial"/>
                <w:sz w:val="14"/>
                <w:szCs w:val="14"/>
              </w:rPr>
            </w:pPr>
            <w:r w:rsidRPr="00AD2E71">
              <w:rPr>
                <w:rFonts w:ascii="Arial" w:hAnsi="Arial" w:cs="Arial"/>
                <w:sz w:val="14"/>
                <w:szCs w:val="14"/>
              </w:rPr>
              <w:t>50.75 (10.14, 33-71)</w:t>
            </w:r>
          </w:p>
        </w:tc>
        <w:tc>
          <w:tcPr>
            <w:tcW w:w="1443" w:type="dxa"/>
            <w:vAlign w:val="center"/>
          </w:tcPr>
          <w:p w:rsidR="00031FED" w:rsidRPr="00AD2E71" w:rsidRDefault="00031FED" w:rsidP="00031FED">
            <w:pPr>
              <w:rPr>
                <w:rFonts w:ascii="Arial" w:hAnsi="Arial" w:cs="Arial"/>
                <w:sz w:val="14"/>
                <w:szCs w:val="14"/>
              </w:rPr>
            </w:pPr>
            <w:r w:rsidRPr="00AD2E71">
              <w:rPr>
                <w:rFonts w:ascii="Arial" w:hAnsi="Arial" w:cs="Arial"/>
                <w:sz w:val="14"/>
                <w:szCs w:val="14"/>
              </w:rPr>
              <w:t>50.23 (6.37, 42-66)</w:t>
            </w:r>
          </w:p>
        </w:tc>
      </w:tr>
      <w:tr w:rsidR="0034684F" w:rsidRPr="00AD2E71" w:rsidTr="00436B88">
        <w:trPr>
          <w:trHeight w:val="422"/>
        </w:trPr>
        <w:tc>
          <w:tcPr>
            <w:tcW w:w="1008" w:type="dxa"/>
            <w:vAlign w:val="center"/>
          </w:tcPr>
          <w:p w:rsidR="0034684F" w:rsidRPr="00AD2E71" w:rsidRDefault="0034684F" w:rsidP="0034684F">
            <w:pPr>
              <w:jc w:val="center"/>
              <w:rPr>
                <w:rFonts w:ascii="Arial" w:hAnsi="Arial" w:cs="Arial"/>
                <w:sz w:val="14"/>
                <w:szCs w:val="14"/>
              </w:rPr>
            </w:pPr>
            <w:r w:rsidRPr="00AD2E71">
              <w:rPr>
                <w:rFonts w:ascii="Arial" w:hAnsi="Arial" w:cs="Arial"/>
                <w:sz w:val="14"/>
                <w:szCs w:val="14"/>
              </w:rPr>
              <w:t>% Female **</w:t>
            </w:r>
          </w:p>
        </w:tc>
        <w:tc>
          <w:tcPr>
            <w:tcW w:w="1530" w:type="dxa"/>
            <w:vAlign w:val="center"/>
          </w:tcPr>
          <w:p w:rsidR="0034684F" w:rsidRPr="00AD2E71" w:rsidRDefault="0034684F" w:rsidP="0034684F">
            <w:pPr>
              <w:jc w:val="center"/>
              <w:rPr>
                <w:rFonts w:ascii="Arial" w:hAnsi="Arial" w:cs="Arial"/>
                <w:sz w:val="14"/>
                <w:szCs w:val="14"/>
              </w:rPr>
            </w:pPr>
            <w:r w:rsidRPr="00AD2E71">
              <w:rPr>
                <w:rFonts w:ascii="Arial" w:hAnsi="Arial" w:cs="Arial"/>
                <w:sz w:val="14"/>
                <w:szCs w:val="14"/>
              </w:rPr>
              <w:t>88.5%</w:t>
            </w:r>
          </w:p>
        </w:tc>
        <w:tc>
          <w:tcPr>
            <w:tcW w:w="1800" w:type="dxa"/>
            <w:vAlign w:val="center"/>
          </w:tcPr>
          <w:p w:rsidR="0034684F" w:rsidRPr="00AD2E71" w:rsidRDefault="0034684F" w:rsidP="0034684F">
            <w:pPr>
              <w:jc w:val="center"/>
              <w:rPr>
                <w:rFonts w:ascii="Arial" w:hAnsi="Arial" w:cs="Arial"/>
                <w:sz w:val="14"/>
                <w:szCs w:val="14"/>
              </w:rPr>
            </w:pPr>
            <w:r w:rsidRPr="00AD2E71">
              <w:rPr>
                <w:rFonts w:ascii="Arial" w:hAnsi="Arial" w:cs="Arial"/>
                <w:sz w:val="14"/>
                <w:szCs w:val="14"/>
              </w:rPr>
              <w:t>91.2%</w:t>
            </w:r>
          </w:p>
        </w:tc>
        <w:tc>
          <w:tcPr>
            <w:tcW w:w="1620" w:type="dxa"/>
            <w:vAlign w:val="center"/>
          </w:tcPr>
          <w:p w:rsidR="0034684F" w:rsidRPr="00AD2E71" w:rsidRDefault="0034684F" w:rsidP="0034684F">
            <w:pPr>
              <w:jc w:val="center"/>
              <w:rPr>
                <w:rFonts w:ascii="Arial" w:hAnsi="Arial" w:cs="Arial"/>
                <w:sz w:val="14"/>
                <w:szCs w:val="14"/>
              </w:rPr>
            </w:pPr>
            <w:r w:rsidRPr="00AD2E71">
              <w:rPr>
                <w:rFonts w:ascii="Arial" w:hAnsi="Arial" w:cs="Arial"/>
                <w:sz w:val="14"/>
                <w:szCs w:val="14"/>
              </w:rPr>
              <w:t>82.5%</w:t>
            </w:r>
          </w:p>
        </w:tc>
        <w:tc>
          <w:tcPr>
            <w:tcW w:w="1440" w:type="dxa"/>
            <w:vAlign w:val="center"/>
          </w:tcPr>
          <w:p w:rsidR="0034684F" w:rsidRPr="00AD2E71" w:rsidRDefault="0034684F" w:rsidP="0034684F">
            <w:pPr>
              <w:jc w:val="center"/>
              <w:rPr>
                <w:rFonts w:ascii="Arial" w:hAnsi="Arial" w:cs="Arial"/>
                <w:sz w:val="14"/>
                <w:szCs w:val="14"/>
              </w:rPr>
            </w:pPr>
            <w:r w:rsidRPr="00AD2E71">
              <w:rPr>
                <w:rFonts w:ascii="Arial" w:hAnsi="Arial" w:cs="Arial"/>
                <w:sz w:val="14"/>
                <w:szCs w:val="14"/>
              </w:rPr>
              <w:t>78.9%</w:t>
            </w:r>
          </w:p>
        </w:tc>
        <w:tc>
          <w:tcPr>
            <w:tcW w:w="1356" w:type="dxa"/>
            <w:vAlign w:val="center"/>
          </w:tcPr>
          <w:p w:rsidR="0034684F" w:rsidRPr="00AD2E71" w:rsidRDefault="0034684F" w:rsidP="0034684F">
            <w:pPr>
              <w:jc w:val="center"/>
              <w:rPr>
                <w:rFonts w:ascii="Arial" w:hAnsi="Arial" w:cs="Arial"/>
                <w:sz w:val="14"/>
                <w:szCs w:val="14"/>
              </w:rPr>
            </w:pPr>
            <w:r w:rsidRPr="00AD2E71">
              <w:rPr>
                <w:rFonts w:ascii="Arial" w:hAnsi="Arial" w:cs="Arial"/>
                <w:sz w:val="14"/>
                <w:szCs w:val="14"/>
              </w:rPr>
              <w:t>94.1%</w:t>
            </w:r>
          </w:p>
        </w:tc>
        <w:tc>
          <w:tcPr>
            <w:tcW w:w="1443" w:type="dxa"/>
            <w:vAlign w:val="center"/>
          </w:tcPr>
          <w:p w:rsidR="0034684F" w:rsidRPr="00AD2E71" w:rsidRDefault="0034684F" w:rsidP="0034684F">
            <w:pPr>
              <w:jc w:val="center"/>
              <w:rPr>
                <w:rFonts w:ascii="Arial" w:hAnsi="Arial" w:cs="Arial"/>
                <w:sz w:val="14"/>
                <w:szCs w:val="14"/>
              </w:rPr>
            </w:pPr>
            <w:r w:rsidRPr="00AD2E71">
              <w:rPr>
                <w:rFonts w:ascii="Arial" w:hAnsi="Arial" w:cs="Arial"/>
                <w:sz w:val="14"/>
                <w:szCs w:val="14"/>
              </w:rPr>
              <w:t>100%</w:t>
            </w:r>
          </w:p>
        </w:tc>
      </w:tr>
      <w:tr w:rsidR="00031FED" w:rsidRPr="00AD2E71" w:rsidTr="0034684F">
        <w:trPr>
          <w:trHeight w:val="200"/>
        </w:trPr>
        <w:tc>
          <w:tcPr>
            <w:tcW w:w="10197" w:type="dxa"/>
            <w:gridSpan w:val="7"/>
            <w:vAlign w:val="center"/>
          </w:tcPr>
          <w:p w:rsidR="00031FED" w:rsidRPr="00AD2E71" w:rsidRDefault="00031FED" w:rsidP="00031FED">
            <w:pPr>
              <w:jc w:val="center"/>
              <w:rPr>
                <w:rFonts w:ascii="Arial" w:hAnsi="Arial" w:cs="Arial"/>
                <w:i/>
                <w:sz w:val="14"/>
                <w:szCs w:val="14"/>
              </w:rPr>
            </w:pPr>
            <w:r w:rsidRPr="00AD2E71">
              <w:rPr>
                <w:rFonts w:ascii="Arial" w:hAnsi="Arial" w:cs="Arial"/>
                <w:i/>
                <w:sz w:val="14"/>
                <w:szCs w:val="14"/>
              </w:rPr>
              <w:t>Survival</w:t>
            </w:r>
          </w:p>
        </w:tc>
      </w:tr>
      <w:tr w:rsidR="00A23EF8" w:rsidRPr="00AD2E71" w:rsidTr="00436B88">
        <w:trPr>
          <w:trHeight w:val="192"/>
        </w:trPr>
        <w:tc>
          <w:tcPr>
            <w:tcW w:w="1008"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Deaths</w:t>
            </w:r>
          </w:p>
        </w:tc>
        <w:tc>
          <w:tcPr>
            <w:tcW w:w="153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161</w:t>
            </w:r>
          </w:p>
        </w:tc>
        <w:tc>
          <w:tcPr>
            <w:tcW w:w="180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50</w:t>
            </w:r>
          </w:p>
        </w:tc>
        <w:tc>
          <w:tcPr>
            <w:tcW w:w="162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44</w:t>
            </w:r>
          </w:p>
        </w:tc>
        <w:tc>
          <w:tcPr>
            <w:tcW w:w="144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32</w:t>
            </w:r>
          </w:p>
        </w:tc>
        <w:tc>
          <w:tcPr>
            <w:tcW w:w="1356"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20</w:t>
            </w:r>
          </w:p>
        </w:tc>
        <w:tc>
          <w:tcPr>
            <w:tcW w:w="1443"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15</w:t>
            </w:r>
          </w:p>
        </w:tc>
      </w:tr>
      <w:tr w:rsidR="00A23EF8" w:rsidRPr="00AD2E71" w:rsidTr="00436B88">
        <w:trPr>
          <w:trHeight w:val="595"/>
        </w:trPr>
        <w:tc>
          <w:tcPr>
            <w:tcW w:w="1008"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2-year survival</w:t>
            </w:r>
            <w:r w:rsidR="00342691" w:rsidRPr="00AD2E71">
              <w:rPr>
                <w:rFonts w:ascii="Arial" w:hAnsi="Arial" w:cs="Arial"/>
                <w:sz w:val="14"/>
                <w:szCs w:val="14"/>
              </w:rPr>
              <w:t xml:space="preserve"> probability</w:t>
            </w:r>
          </w:p>
        </w:tc>
        <w:tc>
          <w:tcPr>
            <w:tcW w:w="1530" w:type="dxa"/>
            <w:vAlign w:val="center"/>
          </w:tcPr>
          <w:p w:rsidR="00A23EF8" w:rsidRPr="00AD2E71" w:rsidRDefault="00713958" w:rsidP="00A23EF8">
            <w:pPr>
              <w:jc w:val="center"/>
              <w:rPr>
                <w:rFonts w:ascii="Arial" w:hAnsi="Arial" w:cs="Arial"/>
                <w:sz w:val="14"/>
                <w:szCs w:val="14"/>
              </w:rPr>
            </w:pPr>
            <w:r w:rsidRPr="00AD2E71">
              <w:rPr>
                <w:rFonts w:ascii="Arial" w:hAnsi="Arial" w:cs="Arial"/>
                <w:sz w:val="14"/>
                <w:szCs w:val="14"/>
              </w:rPr>
              <w:t>0.880</w:t>
            </w:r>
          </w:p>
        </w:tc>
        <w:tc>
          <w:tcPr>
            <w:tcW w:w="180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0.960</w:t>
            </w:r>
          </w:p>
        </w:tc>
        <w:tc>
          <w:tcPr>
            <w:tcW w:w="162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0.846</w:t>
            </w:r>
          </w:p>
        </w:tc>
        <w:tc>
          <w:tcPr>
            <w:tcW w:w="144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0.770</w:t>
            </w:r>
          </w:p>
        </w:tc>
        <w:tc>
          <w:tcPr>
            <w:tcW w:w="1356"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0.593</w:t>
            </w:r>
          </w:p>
        </w:tc>
        <w:tc>
          <w:tcPr>
            <w:tcW w:w="1443" w:type="dxa"/>
            <w:vAlign w:val="center"/>
          </w:tcPr>
          <w:p w:rsidR="00713958" w:rsidRPr="00AD2E71" w:rsidRDefault="00713958" w:rsidP="00713958">
            <w:pPr>
              <w:jc w:val="center"/>
              <w:rPr>
                <w:rFonts w:ascii="Arial" w:hAnsi="Arial" w:cs="Arial"/>
                <w:sz w:val="14"/>
                <w:szCs w:val="14"/>
              </w:rPr>
            </w:pPr>
            <w:r w:rsidRPr="00AD2E71">
              <w:rPr>
                <w:rFonts w:ascii="Arial" w:hAnsi="Arial" w:cs="Arial"/>
                <w:sz w:val="14"/>
                <w:szCs w:val="14"/>
              </w:rPr>
              <w:t>0.625</w:t>
            </w:r>
          </w:p>
        </w:tc>
      </w:tr>
      <w:tr w:rsidR="00A23EF8" w:rsidRPr="00AD2E71" w:rsidTr="00436B88">
        <w:trPr>
          <w:trHeight w:val="587"/>
        </w:trPr>
        <w:tc>
          <w:tcPr>
            <w:tcW w:w="1008"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5-year survival</w:t>
            </w:r>
            <w:r w:rsidR="00342691" w:rsidRPr="00AD2E71">
              <w:rPr>
                <w:rFonts w:ascii="Arial" w:hAnsi="Arial" w:cs="Arial"/>
                <w:sz w:val="14"/>
                <w:szCs w:val="14"/>
              </w:rPr>
              <w:t xml:space="preserve"> probability</w:t>
            </w:r>
          </w:p>
        </w:tc>
        <w:tc>
          <w:tcPr>
            <w:tcW w:w="1530" w:type="dxa"/>
            <w:vAlign w:val="center"/>
          </w:tcPr>
          <w:p w:rsidR="00A23EF8" w:rsidRPr="00AD2E71" w:rsidRDefault="00713958" w:rsidP="00A23EF8">
            <w:pPr>
              <w:jc w:val="center"/>
              <w:rPr>
                <w:rFonts w:ascii="Arial" w:hAnsi="Arial" w:cs="Arial"/>
                <w:sz w:val="14"/>
                <w:szCs w:val="14"/>
              </w:rPr>
            </w:pPr>
            <w:r w:rsidRPr="00AD2E71">
              <w:rPr>
                <w:rFonts w:ascii="Arial" w:hAnsi="Arial" w:cs="Arial"/>
                <w:sz w:val="14"/>
                <w:szCs w:val="14"/>
              </w:rPr>
              <w:t>0.703</w:t>
            </w:r>
          </w:p>
        </w:tc>
        <w:tc>
          <w:tcPr>
            <w:tcW w:w="180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0.905</w:t>
            </w:r>
          </w:p>
        </w:tc>
        <w:tc>
          <w:tcPr>
            <w:tcW w:w="162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0.525</w:t>
            </w:r>
          </w:p>
        </w:tc>
        <w:tc>
          <w:tcPr>
            <w:tcW w:w="144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0.330</w:t>
            </w:r>
          </w:p>
        </w:tc>
        <w:tc>
          <w:tcPr>
            <w:tcW w:w="1356"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0.309</w:t>
            </w:r>
          </w:p>
        </w:tc>
        <w:tc>
          <w:tcPr>
            <w:tcW w:w="1443" w:type="dxa"/>
            <w:vAlign w:val="center"/>
          </w:tcPr>
          <w:p w:rsidR="00A23EF8" w:rsidRPr="00AD2E71" w:rsidRDefault="00713958" w:rsidP="00A23EF8">
            <w:pPr>
              <w:jc w:val="center"/>
              <w:rPr>
                <w:rFonts w:ascii="Arial" w:hAnsi="Arial" w:cs="Arial"/>
                <w:sz w:val="14"/>
                <w:szCs w:val="14"/>
              </w:rPr>
            </w:pPr>
            <w:r w:rsidRPr="00AD2E71">
              <w:rPr>
                <w:rFonts w:ascii="Arial" w:hAnsi="Arial" w:cs="Arial"/>
                <w:sz w:val="14"/>
                <w:szCs w:val="14"/>
              </w:rPr>
              <w:t>0.0625</w:t>
            </w:r>
          </w:p>
        </w:tc>
      </w:tr>
      <w:tr w:rsidR="00A23EF8" w:rsidRPr="00AD2E71" w:rsidTr="00436B88">
        <w:trPr>
          <w:trHeight w:val="595"/>
        </w:trPr>
        <w:tc>
          <w:tcPr>
            <w:tcW w:w="1008"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lastRenderedPageBreak/>
              <w:t>10-year survival</w:t>
            </w:r>
            <w:r w:rsidR="00342691" w:rsidRPr="00AD2E71">
              <w:rPr>
                <w:rFonts w:ascii="Arial" w:hAnsi="Arial" w:cs="Arial"/>
                <w:sz w:val="14"/>
                <w:szCs w:val="14"/>
              </w:rPr>
              <w:t xml:space="preserve"> probability</w:t>
            </w:r>
          </w:p>
        </w:tc>
        <w:tc>
          <w:tcPr>
            <w:tcW w:w="1530" w:type="dxa"/>
            <w:vAlign w:val="center"/>
          </w:tcPr>
          <w:p w:rsidR="00A23EF8" w:rsidRPr="00AD2E71" w:rsidRDefault="00713958" w:rsidP="00A23EF8">
            <w:pPr>
              <w:jc w:val="center"/>
              <w:rPr>
                <w:rFonts w:ascii="Arial" w:hAnsi="Arial" w:cs="Arial"/>
                <w:sz w:val="14"/>
                <w:szCs w:val="14"/>
              </w:rPr>
            </w:pPr>
            <w:r w:rsidRPr="00AD2E71">
              <w:rPr>
                <w:rFonts w:ascii="Arial" w:hAnsi="Arial" w:cs="Arial"/>
                <w:sz w:val="14"/>
                <w:szCs w:val="14"/>
              </w:rPr>
              <w:t>0.442</w:t>
            </w:r>
          </w:p>
        </w:tc>
        <w:tc>
          <w:tcPr>
            <w:tcW w:w="180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0.670</w:t>
            </w:r>
          </w:p>
        </w:tc>
        <w:tc>
          <w:tcPr>
            <w:tcW w:w="162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0.0952</w:t>
            </w:r>
          </w:p>
        </w:tc>
        <w:tc>
          <w:tcPr>
            <w:tcW w:w="1440" w:type="dxa"/>
            <w:vAlign w:val="center"/>
          </w:tcPr>
          <w:p w:rsidR="00A23EF8" w:rsidRPr="00AD2E71" w:rsidRDefault="00A23EF8" w:rsidP="00A23EF8">
            <w:pPr>
              <w:jc w:val="center"/>
              <w:rPr>
                <w:rFonts w:ascii="Arial" w:hAnsi="Arial" w:cs="Arial"/>
                <w:sz w:val="14"/>
                <w:szCs w:val="14"/>
              </w:rPr>
            </w:pPr>
            <w:r w:rsidRPr="00AD2E71">
              <w:rPr>
                <w:rFonts w:ascii="Arial" w:hAnsi="Arial" w:cs="Arial"/>
                <w:sz w:val="14"/>
                <w:szCs w:val="14"/>
              </w:rPr>
              <w:t>0.122</w:t>
            </w:r>
          </w:p>
        </w:tc>
        <w:tc>
          <w:tcPr>
            <w:tcW w:w="1356" w:type="dxa"/>
            <w:vAlign w:val="center"/>
          </w:tcPr>
          <w:p w:rsidR="00A23EF8" w:rsidRPr="00AD2E71" w:rsidRDefault="00915B5A" w:rsidP="00A23EF8">
            <w:pPr>
              <w:jc w:val="center"/>
              <w:rPr>
                <w:rFonts w:ascii="Arial" w:hAnsi="Arial" w:cs="Arial"/>
                <w:sz w:val="14"/>
                <w:szCs w:val="14"/>
              </w:rPr>
            </w:pPr>
            <w:r w:rsidRPr="00AD2E71">
              <w:rPr>
                <w:rFonts w:ascii="Arial" w:hAnsi="Arial" w:cs="Arial"/>
                <w:sz w:val="14"/>
                <w:szCs w:val="14"/>
              </w:rPr>
              <w:t>--</w:t>
            </w:r>
          </w:p>
        </w:tc>
        <w:tc>
          <w:tcPr>
            <w:tcW w:w="1443" w:type="dxa"/>
            <w:vAlign w:val="center"/>
          </w:tcPr>
          <w:p w:rsidR="00A23EF8" w:rsidRPr="00AD2E71" w:rsidRDefault="00915B5A" w:rsidP="00A23EF8">
            <w:pPr>
              <w:jc w:val="center"/>
              <w:rPr>
                <w:rFonts w:ascii="Arial" w:hAnsi="Arial" w:cs="Arial"/>
                <w:sz w:val="14"/>
                <w:szCs w:val="14"/>
              </w:rPr>
            </w:pPr>
            <w:r w:rsidRPr="00AD2E71">
              <w:rPr>
                <w:rFonts w:ascii="Arial" w:hAnsi="Arial" w:cs="Arial"/>
                <w:sz w:val="14"/>
                <w:szCs w:val="14"/>
              </w:rPr>
              <w:t>--</w:t>
            </w:r>
          </w:p>
        </w:tc>
      </w:tr>
      <w:tr w:rsidR="00342691" w:rsidRPr="00AD2E71" w:rsidTr="00436B88">
        <w:trPr>
          <w:trHeight w:val="587"/>
        </w:trPr>
        <w:tc>
          <w:tcPr>
            <w:tcW w:w="1008" w:type="dxa"/>
            <w:vAlign w:val="center"/>
          </w:tcPr>
          <w:p w:rsidR="00342691" w:rsidRPr="00AD2E71" w:rsidRDefault="00342691" w:rsidP="00342691">
            <w:pPr>
              <w:jc w:val="center"/>
              <w:rPr>
                <w:rFonts w:ascii="Arial" w:hAnsi="Arial" w:cs="Arial"/>
                <w:sz w:val="14"/>
                <w:szCs w:val="14"/>
              </w:rPr>
            </w:pPr>
            <w:r w:rsidRPr="00AD2E71">
              <w:rPr>
                <w:rFonts w:ascii="Arial" w:hAnsi="Arial" w:cs="Arial"/>
                <w:sz w:val="14"/>
                <w:szCs w:val="14"/>
              </w:rPr>
              <w:t>10</w:t>
            </w:r>
            <w:r w:rsidRPr="00AD2E71">
              <w:rPr>
                <w:rFonts w:ascii="Arial" w:hAnsi="Arial" w:cs="Arial"/>
                <w:sz w:val="14"/>
                <w:szCs w:val="14"/>
                <w:vertAlign w:val="superscript"/>
              </w:rPr>
              <w:t>th</w:t>
            </w:r>
            <w:r w:rsidRPr="00AD2E71">
              <w:rPr>
                <w:rFonts w:ascii="Arial" w:hAnsi="Arial" w:cs="Arial"/>
                <w:sz w:val="14"/>
                <w:szCs w:val="14"/>
              </w:rPr>
              <w:t xml:space="preserve"> percentile survival (</w:t>
            </w:r>
            <w:proofErr w:type="spellStart"/>
            <w:r w:rsidRPr="00AD2E71">
              <w:rPr>
                <w:rFonts w:ascii="Arial" w:hAnsi="Arial" w:cs="Arial"/>
                <w:sz w:val="14"/>
                <w:szCs w:val="14"/>
              </w:rPr>
              <w:t>yrs</w:t>
            </w:r>
            <w:proofErr w:type="spellEnd"/>
            <w:r w:rsidRPr="00AD2E71">
              <w:rPr>
                <w:rFonts w:ascii="Arial" w:hAnsi="Arial" w:cs="Arial"/>
                <w:sz w:val="14"/>
                <w:szCs w:val="14"/>
              </w:rPr>
              <w:t>)</w:t>
            </w:r>
          </w:p>
        </w:tc>
        <w:tc>
          <w:tcPr>
            <w:tcW w:w="1530" w:type="dxa"/>
            <w:vAlign w:val="center"/>
          </w:tcPr>
          <w:p w:rsidR="00342691" w:rsidRPr="00AD2E71" w:rsidRDefault="00342691" w:rsidP="00A23EF8">
            <w:pPr>
              <w:jc w:val="center"/>
              <w:rPr>
                <w:rFonts w:ascii="Arial" w:hAnsi="Arial" w:cs="Arial"/>
                <w:sz w:val="14"/>
                <w:szCs w:val="14"/>
              </w:rPr>
            </w:pPr>
            <w:r w:rsidRPr="00AD2E71">
              <w:rPr>
                <w:rFonts w:ascii="Arial" w:hAnsi="Arial" w:cs="Arial"/>
                <w:sz w:val="14"/>
                <w:szCs w:val="14"/>
              </w:rPr>
              <w:t>1.67</w:t>
            </w:r>
          </w:p>
        </w:tc>
        <w:tc>
          <w:tcPr>
            <w:tcW w:w="1800" w:type="dxa"/>
            <w:vAlign w:val="center"/>
          </w:tcPr>
          <w:p w:rsidR="00342691" w:rsidRPr="00AD2E71" w:rsidRDefault="00342691" w:rsidP="00A23EF8">
            <w:pPr>
              <w:jc w:val="center"/>
              <w:rPr>
                <w:rFonts w:ascii="Arial" w:hAnsi="Arial" w:cs="Arial"/>
                <w:sz w:val="14"/>
                <w:szCs w:val="14"/>
              </w:rPr>
            </w:pPr>
            <w:r w:rsidRPr="00AD2E71">
              <w:rPr>
                <w:rFonts w:ascii="Arial" w:hAnsi="Arial" w:cs="Arial"/>
                <w:sz w:val="14"/>
                <w:szCs w:val="14"/>
              </w:rPr>
              <w:t>5.06</w:t>
            </w:r>
          </w:p>
        </w:tc>
        <w:tc>
          <w:tcPr>
            <w:tcW w:w="1620" w:type="dxa"/>
            <w:vAlign w:val="center"/>
          </w:tcPr>
          <w:p w:rsidR="00342691" w:rsidRPr="00AD2E71" w:rsidRDefault="00342691" w:rsidP="00A23EF8">
            <w:pPr>
              <w:jc w:val="center"/>
              <w:rPr>
                <w:rFonts w:ascii="Arial" w:hAnsi="Arial" w:cs="Arial"/>
                <w:sz w:val="14"/>
                <w:szCs w:val="14"/>
              </w:rPr>
            </w:pPr>
            <w:r w:rsidRPr="00AD2E71">
              <w:rPr>
                <w:rFonts w:ascii="Arial" w:hAnsi="Arial" w:cs="Arial"/>
                <w:sz w:val="14"/>
                <w:szCs w:val="14"/>
              </w:rPr>
              <w:t>1.51</w:t>
            </w:r>
          </w:p>
        </w:tc>
        <w:tc>
          <w:tcPr>
            <w:tcW w:w="1440" w:type="dxa"/>
            <w:vAlign w:val="center"/>
          </w:tcPr>
          <w:p w:rsidR="00342691" w:rsidRPr="00AD2E71" w:rsidRDefault="00342691" w:rsidP="00A23EF8">
            <w:pPr>
              <w:jc w:val="center"/>
              <w:rPr>
                <w:rFonts w:ascii="Arial" w:hAnsi="Arial" w:cs="Arial"/>
                <w:sz w:val="14"/>
                <w:szCs w:val="14"/>
              </w:rPr>
            </w:pPr>
            <w:r w:rsidRPr="00AD2E71">
              <w:rPr>
                <w:rFonts w:ascii="Arial" w:hAnsi="Arial" w:cs="Arial"/>
                <w:sz w:val="14"/>
                <w:szCs w:val="14"/>
              </w:rPr>
              <w:t>0.89</w:t>
            </w:r>
          </w:p>
        </w:tc>
        <w:tc>
          <w:tcPr>
            <w:tcW w:w="1356" w:type="dxa"/>
            <w:vAlign w:val="center"/>
          </w:tcPr>
          <w:p w:rsidR="00342691" w:rsidRPr="00AD2E71" w:rsidRDefault="00342691" w:rsidP="00A23EF8">
            <w:pPr>
              <w:jc w:val="center"/>
              <w:rPr>
                <w:rFonts w:ascii="Arial" w:hAnsi="Arial" w:cs="Arial"/>
                <w:sz w:val="14"/>
                <w:szCs w:val="14"/>
              </w:rPr>
            </w:pPr>
            <w:r w:rsidRPr="00AD2E71">
              <w:rPr>
                <w:rFonts w:ascii="Arial" w:hAnsi="Arial" w:cs="Arial"/>
                <w:sz w:val="14"/>
                <w:szCs w:val="14"/>
              </w:rPr>
              <w:t>0.19</w:t>
            </w:r>
          </w:p>
        </w:tc>
        <w:tc>
          <w:tcPr>
            <w:tcW w:w="1443" w:type="dxa"/>
            <w:vAlign w:val="center"/>
          </w:tcPr>
          <w:p w:rsidR="00342691" w:rsidRPr="00AD2E71" w:rsidRDefault="00342691" w:rsidP="00A23EF8">
            <w:pPr>
              <w:jc w:val="center"/>
              <w:rPr>
                <w:rFonts w:ascii="Arial" w:hAnsi="Arial" w:cs="Arial"/>
                <w:sz w:val="14"/>
                <w:szCs w:val="14"/>
              </w:rPr>
            </w:pPr>
            <w:r w:rsidRPr="00AD2E71">
              <w:rPr>
                <w:rFonts w:ascii="Arial" w:hAnsi="Arial" w:cs="Arial"/>
                <w:sz w:val="14"/>
                <w:szCs w:val="14"/>
              </w:rPr>
              <w:t>0.21</w:t>
            </w:r>
          </w:p>
        </w:tc>
      </w:tr>
      <w:tr w:rsidR="00A23EF8" w:rsidRPr="00AD2E71" w:rsidTr="00436B88">
        <w:trPr>
          <w:trHeight w:val="714"/>
        </w:trPr>
        <w:tc>
          <w:tcPr>
            <w:tcW w:w="1008" w:type="dxa"/>
            <w:vAlign w:val="center"/>
          </w:tcPr>
          <w:p w:rsidR="00A23EF8" w:rsidRPr="00AD2E71" w:rsidRDefault="00A23EF8" w:rsidP="00F658D2">
            <w:pPr>
              <w:jc w:val="center"/>
              <w:rPr>
                <w:rFonts w:ascii="Arial" w:hAnsi="Arial" w:cs="Arial"/>
                <w:sz w:val="14"/>
                <w:szCs w:val="14"/>
              </w:rPr>
            </w:pPr>
            <w:r w:rsidRPr="00AD2E71">
              <w:rPr>
                <w:rFonts w:ascii="Arial" w:hAnsi="Arial" w:cs="Arial"/>
                <w:sz w:val="14"/>
                <w:szCs w:val="14"/>
              </w:rPr>
              <w:t xml:space="preserve">Restricted mean survival, </w:t>
            </w:r>
            <w:r w:rsidR="00F658D2" w:rsidRPr="00AD2E71">
              <w:rPr>
                <w:rFonts w:ascii="Arial" w:hAnsi="Arial" w:cs="Arial"/>
                <w:sz w:val="14"/>
                <w:szCs w:val="14"/>
              </w:rPr>
              <w:t xml:space="preserve">6.00 </w:t>
            </w:r>
            <w:r w:rsidRPr="00AD2E71">
              <w:rPr>
                <w:rFonts w:ascii="Arial" w:hAnsi="Arial" w:cs="Arial"/>
                <w:sz w:val="14"/>
                <w:szCs w:val="14"/>
              </w:rPr>
              <w:t>years</w:t>
            </w:r>
            <w:r w:rsidR="00342691" w:rsidRPr="00AD2E71">
              <w:rPr>
                <w:rFonts w:ascii="Arial" w:hAnsi="Arial" w:cs="Arial"/>
                <w:sz w:val="14"/>
                <w:szCs w:val="14"/>
              </w:rPr>
              <w:t xml:space="preserve"> (</w:t>
            </w:r>
            <w:proofErr w:type="spellStart"/>
            <w:r w:rsidR="00342691" w:rsidRPr="00AD2E71">
              <w:rPr>
                <w:rFonts w:ascii="Arial" w:hAnsi="Arial" w:cs="Arial"/>
                <w:sz w:val="14"/>
                <w:szCs w:val="14"/>
              </w:rPr>
              <w:t>yrs</w:t>
            </w:r>
            <w:proofErr w:type="spellEnd"/>
            <w:r w:rsidR="00342691" w:rsidRPr="00AD2E71">
              <w:rPr>
                <w:rFonts w:ascii="Arial" w:hAnsi="Arial" w:cs="Arial"/>
                <w:sz w:val="14"/>
                <w:szCs w:val="14"/>
              </w:rPr>
              <w:t>)</w:t>
            </w:r>
          </w:p>
        </w:tc>
        <w:tc>
          <w:tcPr>
            <w:tcW w:w="1530" w:type="dxa"/>
            <w:vAlign w:val="center"/>
          </w:tcPr>
          <w:p w:rsidR="00A23EF8" w:rsidRPr="00AD2E71" w:rsidRDefault="00F658D2" w:rsidP="00A23EF8">
            <w:pPr>
              <w:jc w:val="center"/>
              <w:rPr>
                <w:rFonts w:ascii="Arial" w:hAnsi="Arial" w:cs="Arial"/>
                <w:sz w:val="14"/>
                <w:szCs w:val="14"/>
              </w:rPr>
            </w:pPr>
            <w:r w:rsidRPr="00AD2E71">
              <w:rPr>
                <w:rFonts w:ascii="Arial" w:hAnsi="Arial" w:cs="Arial"/>
                <w:sz w:val="14"/>
                <w:szCs w:val="14"/>
              </w:rPr>
              <w:t>4.90</w:t>
            </w:r>
          </w:p>
        </w:tc>
        <w:tc>
          <w:tcPr>
            <w:tcW w:w="1800" w:type="dxa"/>
            <w:vAlign w:val="center"/>
          </w:tcPr>
          <w:p w:rsidR="00A23EF8" w:rsidRPr="00AD2E71" w:rsidRDefault="00F658D2" w:rsidP="00A23EF8">
            <w:pPr>
              <w:jc w:val="center"/>
              <w:rPr>
                <w:rFonts w:ascii="Arial" w:hAnsi="Arial" w:cs="Arial"/>
                <w:sz w:val="14"/>
                <w:szCs w:val="14"/>
              </w:rPr>
            </w:pPr>
            <w:r w:rsidRPr="00AD2E71">
              <w:rPr>
                <w:rFonts w:ascii="Arial" w:hAnsi="Arial" w:cs="Arial"/>
                <w:sz w:val="14"/>
                <w:szCs w:val="14"/>
              </w:rPr>
              <w:t>5.65</w:t>
            </w:r>
          </w:p>
        </w:tc>
        <w:tc>
          <w:tcPr>
            <w:tcW w:w="1620" w:type="dxa"/>
            <w:vAlign w:val="center"/>
          </w:tcPr>
          <w:p w:rsidR="00A23EF8" w:rsidRPr="00AD2E71" w:rsidRDefault="00F658D2" w:rsidP="00A23EF8">
            <w:pPr>
              <w:jc w:val="center"/>
              <w:rPr>
                <w:rFonts w:ascii="Arial" w:hAnsi="Arial" w:cs="Arial"/>
                <w:sz w:val="14"/>
                <w:szCs w:val="14"/>
              </w:rPr>
            </w:pPr>
            <w:r w:rsidRPr="00AD2E71">
              <w:rPr>
                <w:rFonts w:ascii="Arial" w:hAnsi="Arial" w:cs="Arial"/>
                <w:sz w:val="14"/>
                <w:szCs w:val="14"/>
              </w:rPr>
              <w:t>4.45</w:t>
            </w:r>
          </w:p>
        </w:tc>
        <w:tc>
          <w:tcPr>
            <w:tcW w:w="1440" w:type="dxa"/>
            <w:vAlign w:val="center"/>
          </w:tcPr>
          <w:p w:rsidR="00A23EF8" w:rsidRPr="00AD2E71" w:rsidRDefault="00F658D2" w:rsidP="00A23EF8">
            <w:pPr>
              <w:jc w:val="center"/>
              <w:rPr>
                <w:rFonts w:ascii="Arial" w:hAnsi="Arial" w:cs="Arial"/>
                <w:sz w:val="14"/>
                <w:szCs w:val="14"/>
              </w:rPr>
            </w:pPr>
            <w:r w:rsidRPr="00AD2E71">
              <w:rPr>
                <w:rFonts w:ascii="Arial" w:hAnsi="Arial" w:cs="Arial"/>
                <w:sz w:val="14"/>
                <w:szCs w:val="14"/>
              </w:rPr>
              <w:t>3.70</w:t>
            </w:r>
          </w:p>
        </w:tc>
        <w:tc>
          <w:tcPr>
            <w:tcW w:w="1356" w:type="dxa"/>
            <w:vAlign w:val="center"/>
          </w:tcPr>
          <w:p w:rsidR="00A23EF8" w:rsidRPr="00AD2E71" w:rsidRDefault="00F658D2" w:rsidP="00A23EF8">
            <w:pPr>
              <w:jc w:val="center"/>
              <w:rPr>
                <w:rFonts w:ascii="Arial" w:hAnsi="Arial" w:cs="Arial"/>
                <w:sz w:val="14"/>
                <w:szCs w:val="14"/>
              </w:rPr>
            </w:pPr>
            <w:r w:rsidRPr="00AD2E71">
              <w:rPr>
                <w:rFonts w:ascii="Arial" w:hAnsi="Arial" w:cs="Arial"/>
                <w:sz w:val="14"/>
                <w:szCs w:val="14"/>
              </w:rPr>
              <w:t>2.83</w:t>
            </w:r>
          </w:p>
        </w:tc>
        <w:tc>
          <w:tcPr>
            <w:tcW w:w="1443" w:type="dxa"/>
            <w:vAlign w:val="center"/>
          </w:tcPr>
          <w:p w:rsidR="00A23EF8" w:rsidRPr="00AD2E71" w:rsidRDefault="00F658D2" w:rsidP="00A23EF8">
            <w:pPr>
              <w:jc w:val="center"/>
              <w:rPr>
                <w:rFonts w:ascii="Arial" w:hAnsi="Arial" w:cs="Arial"/>
                <w:sz w:val="14"/>
                <w:szCs w:val="14"/>
              </w:rPr>
            </w:pPr>
            <w:r w:rsidRPr="00AD2E71">
              <w:rPr>
                <w:rFonts w:ascii="Arial" w:hAnsi="Arial" w:cs="Arial"/>
                <w:sz w:val="14"/>
                <w:szCs w:val="14"/>
              </w:rPr>
              <w:t>2.19</w:t>
            </w:r>
          </w:p>
        </w:tc>
      </w:tr>
    </w:tbl>
    <w:p w:rsidR="00A23EF8" w:rsidRPr="00AD2E71" w:rsidRDefault="0034684F">
      <w:pPr>
        <w:rPr>
          <w:rFonts w:ascii="Arial" w:hAnsi="Arial" w:cs="Arial"/>
          <w:sz w:val="16"/>
          <w:szCs w:val="16"/>
        </w:rPr>
      </w:pPr>
      <w:r w:rsidRPr="00AD2E71">
        <w:rPr>
          <w:rFonts w:ascii="Arial" w:hAnsi="Arial" w:cs="Arial"/>
          <w:sz w:val="16"/>
          <w:szCs w:val="16"/>
        </w:rPr>
        <w:t xml:space="preserve">* Mean age (SD, min-max). </w:t>
      </w:r>
      <w:r w:rsidRPr="00AD2E71">
        <w:rPr>
          <w:rFonts w:ascii="Arial" w:hAnsi="Arial" w:cs="Arial"/>
          <w:sz w:val="16"/>
          <w:szCs w:val="16"/>
        </w:rPr>
        <w:br/>
        <w:t>** Sex was missing for 68 individuals in bilirubin 0-1.99 mg/</w:t>
      </w:r>
      <w:proofErr w:type="spellStart"/>
      <w:r w:rsidRPr="00AD2E71">
        <w:rPr>
          <w:rFonts w:ascii="Arial" w:hAnsi="Arial" w:cs="Arial"/>
          <w:sz w:val="16"/>
          <w:szCs w:val="16"/>
        </w:rPr>
        <w:t>dL</w:t>
      </w:r>
      <w:proofErr w:type="spellEnd"/>
      <w:r w:rsidRPr="00AD2E71">
        <w:rPr>
          <w:rFonts w:ascii="Arial" w:hAnsi="Arial" w:cs="Arial"/>
          <w:sz w:val="16"/>
          <w:szCs w:val="16"/>
        </w:rPr>
        <w:t xml:space="preserve"> group, 15 in bilirubin 2-3.99 mg/</w:t>
      </w:r>
      <w:proofErr w:type="spellStart"/>
      <w:r w:rsidRPr="00AD2E71">
        <w:rPr>
          <w:rFonts w:ascii="Arial" w:hAnsi="Arial" w:cs="Arial"/>
          <w:sz w:val="16"/>
          <w:szCs w:val="16"/>
        </w:rPr>
        <w:t>dL</w:t>
      </w:r>
      <w:proofErr w:type="spellEnd"/>
      <w:r w:rsidRPr="00AD2E71">
        <w:rPr>
          <w:rFonts w:ascii="Arial" w:hAnsi="Arial" w:cs="Arial"/>
          <w:sz w:val="16"/>
          <w:szCs w:val="16"/>
        </w:rPr>
        <w:t xml:space="preserve"> group, 10 in bilirubin 4-7.99 mg/</w:t>
      </w:r>
      <w:proofErr w:type="spellStart"/>
      <w:r w:rsidRPr="00AD2E71">
        <w:rPr>
          <w:rFonts w:ascii="Arial" w:hAnsi="Arial" w:cs="Arial"/>
          <w:sz w:val="16"/>
          <w:szCs w:val="16"/>
        </w:rPr>
        <w:t>dL</w:t>
      </w:r>
      <w:proofErr w:type="spellEnd"/>
      <w:r w:rsidRPr="00AD2E71">
        <w:rPr>
          <w:rFonts w:ascii="Arial" w:hAnsi="Arial" w:cs="Arial"/>
          <w:sz w:val="16"/>
          <w:szCs w:val="16"/>
        </w:rPr>
        <w:t xml:space="preserve"> group</w:t>
      </w:r>
      <w:proofErr w:type="gramStart"/>
      <w:r w:rsidRPr="00AD2E71">
        <w:rPr>
          <w:rFonts w:ascii="Arial" w:hAnsi="Arial" w:cs="Arial"/>
          <w:sz w:val="16"/>
          <w:szCs w:val="16"/>
        </w:rPr>
        <w:t>,10</w:t>
      </w:r>
      <w:proofErr w:type="gramEnd"/>
      <w:r w:rsidRPr="00AD2E71">
        <w:rPr>
          <w:rFonts w:ascii="Arial" w:hAnsi="Arial" w:cs="Arial"/>
          <w:sz w:val="16"/>
          <w:szCs w:val="16"/>
        </w:rPr>
        <w:t xml:space="preserve"> in 8-15.99 mg/</w:t>
      </w:r>
      <w:proofErr w:type="spellStart"/>
      <w:r w:rsidRPr="00AD2E71">
        <w:rPr>
          <w:rFonts w:ascii="Arial" w:hAnsi="Arial" w:cs="Arial"/>
          <w:sz w:val="16"/>
          <w:szCs w:val="16"/>
        </w:rPr>
        <w:t>dL</w:t>
      </w:r>
      <w:proofErr w:type="spellEnd"/>
      <w:r w:rsidRPr="00AD2E71">
        <w:rPr>
          <w:rFonts w:ascii="Arial" w:hAnsi="Arial" w:cs="Arial"/>
          <w:sz w:val="16"/>
          <w:szCs w:val="16"/>
        </w:rPr>
        <w:t xml:space="preserve"> group, and 3 in bilirubin 16+ mg/</w:t>
      </w:r>
      <w:proofErr w:type="spellStart"/>
      <w:r w:rsidRPr="00AD2E71">
        <w:rPr>
          <w:rFonts w:ascii="Arial" w:hAnsi="Arial" w:cs="Arial"/>
          <w:sz w:val="16"/>
          <w:szCs w:val="16"/>
        </w:rPr>
        <w:t>dL</w:t>
      </w:r>
      <w:proofErr w:type="spellEnd"/>
      <w:r w:rsidRPr="00AD2E71">
        <w:rPr>
          <w:rFonts w:ascii="Arial" w:hAnsi="Arial" w:cs="Arial"/>
          <w:sz w:val="16"/>
          <w:szCs w:val="16"/>
        </w:rPr>
        <w:t xml:space="preserve"> group. </w:t>
      </w:r>
      <w:r w:rsidR="00915B5A" w:rsidRPr="00AD2E71">
        <w:rPr>
          <w:rFonts w:ascii="Arial" w:hAnsi="Arial" w:cs="Arial"/>
          <w:sz w:val="16"/>
          <w:szCs w:val="16"/>
        </w:rPr>
        <w:br/>
        <w:t xml:space="preserve">-- indicates sample size too small to estimate </w:t>
      </w:r>
      <w:r w:rsidRPr="00AD2E71">
        <w:rPr>
          <w:rFonts w:ascii="Arial" w:hAnsi="Arial" w:cs="Arial"/>
          <w:sz w:val="16"/>
          <w:szCs w:val="16"/>
        </w:rPr>
        <w:br/>
        <w:t xml:space="preserve">Notes: </w:t>
      </w:r>
      <w:r w:rsidR="00F658D2" w:rsidRPr="00AD2E71">
        <w:rPr>
          <w:rFonts w:ascii="Arial" w:hAnsi="Arial" w:cs="Arial"/>
          <w:sz w:val="16"/>
          <w:szCs w:val="16"/>
        </w:rPr>
        <w:t xml:space="preserve">Ten-year survival estimates were not available in the two highest bilirubin groups, as censoring occurred prior to this time in both groups. Restricted mean survival is an average of the years lived during the first 6.00 years after enrollment. This was estimated as the area under the Kaplan-Meier survival curve. </w:t>
      </w:r>
    </w:p>
    <w:p w:rsidR="00703501" w:rsidRPr="00AD2E71" w:rsidRDefault="00342691">
      <w:pPr>
        <w:rPr>
          <w:rFonts w:ascii="Arial" w:hAnsi="Arial" w:cs="Arial"/>
        </w:rPr>
      </w:pPr>
      <w:r w:rsidRPr="00AD2E71">
        <w:rPr>
          <w:rFonts w:ascii="Arial" w:hAnsi="Arial" w:cs="Arial"/>
          <w:noProof/>
        </w:rPr>
        <w:drawing>
          <wp:inline distT="0" distB="0" distL="0" distR="0" wp14:anchorId="190E33FC" wp14:editId="50ECFD93">
            <wp:extent cx="3562350" cy="2612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7207" cy="2616165"/>
                    </a:xfrm>
                    <a:prstGeom prst="rect">
                      <a:avLst/>
                    </a:prstGeom>
                    <a:noFill/>
                    <a:ln>
                      <a:noFill/>
                    </a:ln>
                  </pic:spPr>
                </pic:pic>
              </a:graphicData>
            </a:graphic>
          </wp:inline>
        </w:drawing>
      </w:r>
    </w:p>
    <w:p w:rsidR="00B05825" w:rsidRPr="00AD2E71" w:rsidRDefault="006C3457">
      <w:pPr>
        <w:rPr>
          <w:rFonts w:ascii="Arial" w:hAnsi="Arial" w:cs="Arial"/>
          <w:u w:val="single"/>
        </w:rPr>
      </w:pPr>
      <w:r w:rsidRPr="00AD2E71">
        <w:rPr>
          <w:rFonts w:ascii="Arial" w:hAnsi="Arial" w:cs="Arial"/>
          <w:u w:val="single"/>
        </w:rPr>
        <w:t>Question 2</w:t>
      </w:r>
    </w:p>
    <w:p w:rsidR="00B05825" w:rsidRPr="00AD2E71" w:rsidRDefault="00F348F3">
      <w:pPr>
        <w:rPr>
          <w:rFonts w:ascii="Arial" w:hAnsi="Arial" w:cs="Arial"/>
        </w:rPr>
      </w:pPr>
      <w:r w:rsidRPr="00AD2E71">
        <w:rPr>
          <w:rFonts w:ascii="Arial" w:hAnsi="Arial" w:cs="Arial"/>
        </w:rPr>
        <w:t>To evaluate mortality in t</w:t>
      </w:r>
      <w:r w:rsidR="00BE351D" w:rsidRPr="00AD2E71">
        <w:rPr>
          <w:rFonts w:ascii="Arial" w:hAnsi="Arial" w:cs="Arial"/>
        </w:rPr>
        <w:t>he previous</w:t>
      </w:r>
      <w:r w:rsidRPr="00AD2E71">
        <w:rPr>
          <w:rFonts w:ascii="Arial" w:hAnsi="Arial" w:cs="Arial"/>
        </w:rPr>
        <w:t xml:space="preserve"> CHS</w:t>
      </w:r>
      <w:r w:rsidR="00BE351D" w:rsidRPr="00AD2E71">
        <w:rPr>
          <w:rFonts w:ascii="Arial" w:hAnsi="Arial" w:cs="Arial"/>
        </w:rPr>
        <w:t xml:space="preserve"> datasets we restricted to a time period over which we had full data on vital statu</w:t>
      </w:r>
      <w:r w:rsidRPr="00AD2E71">
        <w:rPr>
          <w:rFonts w:ascii="Arial" w:hAnsi="Arial" w:cs="Arial"/>
        </w:rPr>
        <w:t xml:space="preserve">s. </w:t>
      </w:r>
      <w:r w:rsidR="00BE351D" w:rsidRPr="00AD2E71">
        <w:rPr>
          <w:rFonts w:ascii="Arial" w:hAnsi="Arial" w:cs="Arial"/>
        </w:rPr>
        <w:t>We were able to use logistic regression in those analyses where the vital status</w:t>
      </w:r>
      <w:r w:rsidR="00436B88">
        <w:rPr>
          <w:rFonts w:ascii="Arial" w:hAnsi="Arial" w:cs="Arial"/>
        </w:rPr>
        <w:t xml:space="preserve"> (0=alive, 1=death)</w:t>
      </w:r>
      <w:r w:rsidR="00BE351D" w:rsidRPr="00AD2E71">
        <w:rPr>
          <w:rFonts w:ascii="Arial" w:hAnsi="Arial" w:cs="Arial"/>
        </w:rPr>
        <w:t xml:space="preserve"> was the main outcome and the predictors were other covariates.</w:t>
      </w:r>
      <w:r w:rsidRPr="00AD2E71">
        <w:rPr>
          <w:rFonts w:ascii="Arial" w:hAnsi="Arial" w:cs="Arial"/>
        </w:rPr>
        <w:t xml:space="preserve"> </w:t>
      </w:r>
      <w:r w:rsidR="00BE351D" w:rsidRPr="00AD2E71">
        <w:rPr>
          <w:rFonts w:ascii="Arial" w:hAnsi="Arial" w:cs="Arial"/>
        </w:rPr>
        <w:t>This would not advisable</w:t>
      </w:r>
      <w:r w:rsidRPr="00AD2E71">
        <w:rPr>
          <w:rFonts w:ascii="Arial" w:hAnsi="Arial" w:cs="Arial"/>
        </w:rPr>
        <w:t xml:space="preserve"> in the case of our dataset here. When we look at the first instance of censoring across all data we see that the minimum time of follow-up among the censored observations is 0.112 years. This is a fairly short period of time to evaluate survival over, so we would choose instead to </w:t>
      </w:r>
      <w:r w:rsidRPr="00AD2E71">
        <w:rPr>
          <w:rFonts w:ascii="Arial" w:hAnsi="Arial" w:cs="Arial"/>
        </w:rPr>
        <w:t>use the full</w:t>
      </w:r>
      <w:r w:rsidRPr="00AD2E71">
        <w:rPr>
          <w:rFonts w:ascii="Arial" w:hAnsi="Arial" w:cs="Arial"/>
        </w:rPr>
        <w:t xml:space="preserve"> censoring dataset in proportional hazards regression. In this case, we would be evaluating the time to death as the main outcome and serum bilirubin as the</w:t>
      </w:r>
      <w:r w:rsidR="002131D4" w:rsidRPr="00AD2E71">
        <w:rPr>
          <w:rFonts w:ascii="Arial" w:hAnsi="Arial" w:cs="Arial"/>
        </w:rPr>
        <w:t xml:space="preserve"> continuous</w:t>
      </w:r>
      <w:r w:rsidRPr="00AD2E71">
        <w:rPr>
          <w:rFonts w:ascii="Arial" w:hAnsi="Arial" w:cs="Arial"/>
        </w:rPr>
        <w:t xml:space="preserve"> predictor of interest. </w:t>
      </w:r>
      <w:r w:rsidRPr="00AD2E71">
        <w:rPr>
          <w:rFonts w:ascii="Arial" w:hAnsi="Arial" w:cs="Arial"/>
        </w:rPr>
        <w:br/>
      </w:r>
      <w:r w:rsidR="00C03B8E" w:rsidRPr="00AD2E71">
        <w:rPr>
          <w:rFonts w:ascii="Arial" w:hAnsi="Arial" w:cs="Arial"/>
          <w:u w:val="single"/>
        </w:rPr>
        <w:br/>
      </w:r>
      <w:r w:rsidR="00342691" w:rsidRPr="00AD2E71">
        <w:rPr>
          <w:rFonts w:ascii="Arial" w:hAnsi="Arial" w:cs="Arial"/>
          <w:u w:val="single"/>
        </w:rPr>
        <w:t xml:space="preserve">Question </w:t>
      </w:r>
      <w:r w:rsidR="006C3457" w:rsidRPr="00AD2E71">
        <w:rPr>
          <w:rFonts w:ascii="Arial" w:hAnsi="Arial" w:cs="Arial"/>
          <w:u w:val="single"/>
        </w:rPr>
        <w:t>3</w:t>
      </w:r>
    </w:p>
    <w:p w:rsidR="00342691" w:rsidRPr="00AD2E71" w:rsidRDefault="00342691">
      <w:pPr>
        <w:rPr>
          <w:rFonts w:ascii="Arial" w:hAnsi="Arial" w:cs="Arial"/>
        </w:rPr>
      </w:pPr>
      <w:r w:rsidRPr="00AD2E71">
        <w:rPr>
          <w:rFonts w:ascii="Arial" w:hAnsi="Arial" w:cs="Arial"/>
          <w:b/>
        </w:rPr>
        <w:t>Methods:</w:t>
      </w:r>
      <w:r w:rsidRPr="00AD2E71">
        <w:rPr>
          <w:rFonts w:ascii="Arial" w:hAnsi="Arial" w:cs="Arial"/>
        </w:rPr>
        <w:t xml:space="preserve"> </w:t>
      </w:r>
      <w:r w:rsidR="00E47642" w:rsidRPr="00AD2E71">
        <w:rPr>
          <w:rFonts w:ascii="Arial" w:hAnsi="Arial" w:cs="Arial"/>
        </w:rPr>
        <w:t xml:space="preserve">We used proportional hazards model to evaluate the distribution of time to death </w:t>
      </w:r>
      <w:r w:rsidR="006C3457" w:rsidRPr="00AD2E71">
        <w:rPr>
          <w:rFonts w:ascii="Arial" w:hAnsi="Arial" w:cs="Arial"/>
        </w:rPr>
        <w:t>across groups defined by a p</w:t>
      </w:r>
      <w:r w:rsidR="00E47642" w:rsidRPr="00AD2E71">
        <w:rPr>
          <w:rFonts w:ascii="Arial" w:hAnsi="Arial" w:cs="Arial"/>
        </w:rPr>
        <w:t>redictor, serum bilirubin. Serum bilirubin (mg/</w:t>
      </w:r>
      <w:proofErr w:type="spellStart"/>
      <w:r w:rsidR="00E47642" w:rsidRPr="00AD2E71">
        <w:rPr>
          <w:rFonts w:ascii="Arial" w:hAnsi="Arial" w:cs="Arial"/>
        </w:rPr>
        <w:t>dL</w:t>
      </w:r>
      <w:proofErr w:type="spellEnd"/>
      <w:r w:rsidR="00E47642" w:rsidRPr="00AD2E71">
        <w:rPr>
          <w:rFonts w:ascii="Arial" w:hAnsi="Arial" w:cs="Arial"/>
        </w:rPr>
        <w:t xml:space="preserve">) was modeled as a continuous non-transformed variable. Death from any cause was a binary variable. A hazard ratio for the association between mortality and serum bilirubin was generated from the regression. P-values and confidence intervals were provided using the Wald statistic.  </w:t>
      </w:r>
    </w:p>
    <w:p w:rsidR="00E47642" w:rsidRPr="00AD2E71" w:rsidRDefault="00E47642">
      <w:pPr>
        <w:rPr>
          <w:rFonts w:ascii="Arial" w:hAnsi="Arial" w:cs="Arial"/>
        </w:rPr>
      </w:pPr>
      <w:r w:rsidRPr="00AD2E71">
        <w:rPr>
          <w:rFonts w:ascii="Arial" w:hAnsi="Arial" w:cs="Arial"/>
          <w:b/>
        </w:rPr>
        <w:lastRenderedPageBreak/>
        <w:t xml:space="preserve">Results: </w:t>
      </w:r>
      <w:r w:rsidRPr="00AD2E71">
        <w:rPr>
          <w:rFonts w:ascii="Arial" w:hAnsi="Arial" w:cs="Arial"/>
        </w:rPr>
        <w:t xml:space="preserve">A total of 418 participants </w:t>
      </w:r>
      <w:r w:rsidR="006C3457" w:rsidRPr="00AD2E71">
        <w:rPr>
          <w:rFonts w:ascii="Arial" w:hAnsi="Arial" w:cs="Arial"/>
        </w:rPr>
        <w:t xml:space="preserve">with available serum bilirubin levels </w:t>
      </w:r>
      <w:r w:rsidRPr="00AD2E71">
        <w:rPr>
          <w:rFonts w:ascii="Arial" w:hAnsi="Arial" w:cs="Arial"/>
        </w:rPr>
        <w:t xml:space="preserve">were included in proportional hazards regression for </w:t>
      </w:r>
      <w:r w:rsidR="0083103F" w:rsidRPr="00AD2E71">
        <w:rPr>
          <w:rFonts w:ascii="Arial" w:hAnsi="Arial" w:cs="Arial"/>
        </w:rPr>
        <w:t xml:space="preserve">time to all-cause death. There were 161 deaths over a mean follow-up of 8.35 years. </w:t>
      </w:r>
      <w:r w:rsidR="00D013C9" w:rsidRPr="00AD2E71">
        <w:rPr>
          <w:rFonts w:ascii="Arial" w:hAnsi="Arial" w:cs="Arial"/>
        </w:rPr>
        <w:t>From proportional hazards regression, t</w:t>
      </w:r>
      <w:r w:rsidR="0083103F" w:rsidRPr="00AD2E71">
        <w:rPr>
          <w:rFonts w:ascii="Arial" w:hAnsi="Arial" w:cs="Arial"/>
        </w:rPr>
        <w:t>he estimated instantaneous risk of death</w:t>
      </w:r>
      <w:r w:rsidR="00D013C9" w:rsidRPr="00AD2E71">
        <w:rPr>
          <w:rFonts w:ascii="Arial" w:hAnsi="Arial" w:cs="Arial"/>
        </w:rPr>
        <w:t xml:space="preserve"> is</w:t>
      </w:r>
      <w:r w:rsidR="0083103F" w:rsidRPr="00AD2E71">
        <w:rPr>
          <w:rFonts w:ascii="Arial" w:hAnsi="Arial" w:cs="Arial"/>
        </w:rPr>
        <w:t xml:space="preserve"> elevated by </w:t>
      </w:r>
      <w:r w:rsidR="00D573AF" w:rsidRPr="00AD2E71">
        <w:rPr>
          <w:rFonts w:ascii="Arial" w:hAnsi="Arial" w:cs="Arial"/>
        </w:rPr>
        <w:t xml:space="preserve">a relative </w:t>
      </w:r>
      <w:r w:rsidR="0083103F" w:rsidRPr="00AD2E71">
        <w:rPr>
          <w:rFonts w:ascii="Arial" w:hAnsi="Arial" w:cs="Arial"/>
        </w:rPr>
        <w:t>15.2% for each 1 mg/</w:t>
      </w:r>
      <w:proofErr w:type="spellStart"/>
      <w:r w:rsidR="0083103F" w:rsidRPr="00AD2E71">
        <w:rPr>
          <w:rFonts w:ascii="Arial" w:hAnsi="Arial" w:cs="Arial"/>
        </w:rPr>
        <w:t>dL</w:t>
      </w:r>
      <w:proofErr w:type="spellEnd"/>
      <w:r w:rsidR="0083103F" w:rsidRPr="00AD2E71">
        <w:rPr>
          <w:rFonts w:ascii="Arial" w:hAnsi="Arial" w:cs="Arial"/>
        </w:rPr>
        <w:t xml:space="preserve"> increase in serum bilirubin. </w:t>
      </w:r>
      <w:r w:rsidR="00D013C9" w:rsidRPr="00AD2E71">
        <w:rPr>
          <w:rFonts w:ascii="Arial" w:hAnsi="Arial" w:cs="Arial"/>
        </w:rPr>
        <w:t>With 95% confidence, the observed estimate</w:t>
      </w:r>
      <w:r w:rsidR="002F146E" w:rsidRPr="00AD2E71">
        <w:rPr>
          <w:rFonts w:ascii="Arial" w:hAnsi="Arial" w:cs="Arial"/>
        </w:rPr>
        <w:t xml:space="preserve"> is consistent with a relative</w:t>
      </w:r>
      <w:r w:rsidR="00D013C9" w:rsidRPr="00AD2E71">
        <w:rPr>
          <w:rFonts w:ascii="Arial" w:hAnsi="Arial" w:cs="Arial"/>
        </w:rPr>
        <w:t xml:space="preserve"> increase between 12.1% and 18.4%.</w:t>
      </w:r>
      <w:r w:rsidR="002F146E" w:rsidRPr="00AD2E71">
        <w:rPr>
          <w:rFonts w:ascii="Arial" w:hAnsi="Arial" w:cs="Arial"/>
        </w:rPr>
        <w:t xml:space="preserve"> With two-sided p-value of p&lt;0.001, we reject the null hypothesis that the risk of death is not associated with serum bilirubin level. All-cause mortality was increased </w:t>
      </w:r>
      <w:r w:rsidR="00D573AF" w:rsidRPr="00AD2E71">
        <w:rPr>
          <w:rFonts w:ascii="Arial" w:hAnsi="Arial" w:cs="Arial"/>
        </w:rPr>
        <w:t xml:space="preserve">with increased serum bilirubin. </w:t>
      </w:r>
    </w:p>
    <w:p w:rsidR="006C3457" w:rsidRPr="00AD2E71" w:rsidRDefault="006C3457">
      <w:pPr>
        <w:rPr>
          <w:rFonts w:ascii="Arial" w:hAnsi="Arial" w:cs="Arial"/>
          <w:u w:val="single"/>
        </w:rPr>
      </w:pPr>
      <w:r w:rsidRPr="00AD2E71">
        <w:rPr>
          <w:rFonts w:ascii="Arial" w:hAnsi="Arial" w:cs="Arial"/>
          <w:u w:val="single"/>
        </w:rPr>
        <w:t>Question 4</w:t>
      </w:r>
    </w:p>
    <w:p w:rsidR="006C3457" w:rsidRPr="00AD2E71" w:rsidRDefault="006C3457" w:rsidP="006C3457">
      <w:pPr>
        <w:rPr>
          <w:rFonts w:ascii="Arial" w:hAnsi="Arial" w:cs="Arial"/>
        </w:rPr>
      </w:pPr>
      <w:r w:rsidRPr="00AD2E71">
        <w:rPr>
          <w:rFonts w:ascii="Arial" w:hAnsi="Arial" w:cs="Arial"/>
          <w:b/>
        </w:rPr>
        <w:t>Methods:</w:t>
      </w:r>
      <w:r w:rsidRPr="00AD2E71">
        <w:rPr>
          <w:rFonts w:ascii="Arial" w:hAnsi="Arial" w:cs="Arial"/>
        </w:rPr>
        <w:t xml:space="preserve"> We used proportional hazards model to evaluate the distribution of time to death across groups defined by a predictor, serum bilirubin. Serum bilirubin (mg/</w:t>
      </w:r>
      <w:proofErr w:type="spellStart"/>
      <w:r w:rsidRPr="00AD2E71">
        <w:rPr>
          <w:rFonts w:ascii="Arial" w:hAnsi="Arial" w:cs="Arial"/>
        </w:rPr>
        <w:t>dL</w:t>
      </w:r>
      <w:proofErr w:type="spellEnd"/>
      <w:r w:rsidRPr="00AD2E71">
        <w:rPr>
          <w:rFonts w:ascii="Arial" w:hAnsi="Arial" w:cs="Arial"/>
        </w:rPr>
        <w:t xml:space="preserve">) was modeled as a continuous </w:t>
      </w:r>
      <w:r w:rsidR="00D573AF" w:rsidRPr="00AD2E71">
        <w:rPr>
          <w:rFonts w:ascii="Arial" w:hAnsi="Arial" w:cs="Arial"/>
        </w:rPr>
        <w:t xml:space="preserve">base-2 logarithmically transformed </w:t>
      </w:r>
      <w:r w:rsidRPr="00AD2E71">
        <w:rPr>
          <w:rFonts w:ascii="Arial" w:hAnsi="Arial" w:cs="Arial"/>
        </w:rPr>
        <w:t xml:space="preserve">variable. Death from any cause was a binary variable. A hazard ratio for the association between mortality and serum bilirubin was generated from the regression. P-values and confidence intervals were provided using the Wald statistic.  </w:t>
      </w:r>
    </w:p>
    <w:p w:rsidR="00D573AF" w:rsidRPr="00AD2E71" w:rsidRDefault="00D573AF" w:rsidP="006C3457">
      <w:pPr>
        <w:rPr>
          <w:rFonts w:ascii="Arial" w:hAnsi="Arial" w:cs="Arial"/>
        </w:rPr>
      </w:pPr>
      <w:r w:rsidRPr="00AD2E71">
        <w:rPr>
          <w:rFonts w:ascii="Arial" w:hAnsi="Arial" w:cs="Arial"/>
          <w:b/>
        </w:rPr>
        <w:t>Results:</w:t>
      </w:r>
      <w:r w:rsidRPr="00AD2E71">
        <w:rPr>
          <w:rFonts w:ascii="Arial" w:hAnsi="Arial" w:cs="Arial"/>
        </w:rPr>
        <w:t xml:space="preserve"> A total of 418 participants with available serum bilirubin levels were included in proportional hazards regression for time to all-cause death. There were 161 deaths over a mean follow-up of 8.35 years. From proportional hazards regression, the estimated instantaneous risk of death is increased by a relative 98% for each doubling in serum bilirubin. With 95% confidence, the observed estimate is consistent with a relative increase between 78.1% and 121%. With two-sided p-value of p&lt;0.001, we reject the null hypothesis that the risk of death is not associated with serum bilirubin level. All-cause mortality was increased with increased serum bilirubin.</w:t>
      </w:r>
    </w:p>
    <w:p w:rsidR="00C91633" w:rsidRPr="00AD2E71" w:rsidRDefault="00C91633" w:rsidP="006C3457">
      <w:pPr>
        <w:rPr>
          <w:rFonts w:ascii="Arial" w:hAnsi="Arial" w:cs="Arial"/>
          <w:u w:val="single"/>
        </w:rPr>
      </w:pPr>
      <w:r w:rsidRPr="00AD2E71">
        <w:rPr>
          <w:rFonts w:ascii="Arial" w:hAnsi="Arial" w:cs="Arial"/>
          <w:u w:val="single"/>
        </w:rPr>
        <w:t>Question 5</w:t>
      </w:r>
    </w:p>
    <w:p w:rsidR="00C91633" w:rsidRPr="00AD2E71" w:rsidRDefault="00C91633" w:rsidP="00C91633">
      <w:pPr>
        <w:rPr>
          <w:rFonts w:ascii="Arial" w:hAnsi="Arial" w:cs="Arial"/>
        </w:rPr>
      </w:pPr>
      <w:r w:rsidRPr="00AD2E71">
        <w:rPr>
          <w:rFonts w:ascii="Arial" w:hAnsi="Arial" w:cs="Arial"/>
          <w:b/>
        </w:rPr>
        <w:t>Methods:</w:t>
      </w:r>
      <w:r w:rsidRPr="00AD2E71">
        <w:rPr>
          <w:rFonts w:ascii="Arial" w:hAnsi="Arial" w:cs="Arial"/>
        </w:rPr>
        <w:t xml:space="preserve"> We used proportional hazards model to evaluate the distribution of time to death across groups defined by a predictor, serum bilirubin. Serum bilirubin (mg/</w:t>
      </w:r>
      <w:proofErr w:type="spellStart"/>
      <w:r w:rsidRPr="00AD2E71">
        <w:rPr>
          <w:rFonts w:ascii="Arial" w:hAnsi="Arial" w:cs="Arial"/>
        </w:rPr>
        <w:t>dL</w:t>
      </w:r>
      <w:proofErr w:type="spellEnd"/>
      <w:r w:rsidRPr="00AD2E71">
        <w:rPr>
          <w:rFonts w:ascii="Arial" w:hAnsi="Arial" w:cs="Arial"/>
        </w:rPr>
        <w:t xml:space="preserve">) </w:t>
      </w:r>
      <w:r w:rsidR="002131D4" w:rsidRPr="00AD2E71">
        <w:rPr>
          <w:rFonts w:ascii="Arial" w:hAnsi="Arial" w:cs="Arial"/>
        </w:rPr>
        <w:t>included in the model as</w:t>
      </w:r>
      <w:r w:rsidRPr="00AD2E71">
        <w:rPr>
          <w:rFonts w:ascii="Arial" w:hAnsi="Arial" w:cs="Arial"/>
        </w:rPr>
        <w:t xml:space="preserve"> both untransformed bilirubin and continuous base-2 logarithmically transformed bilirubin. Death from any cause was a binary variable. A log hazard ratio for the association between mortality and serum bilirubin was generated from the regression.</w:t>
      </w:r>
      <w:r w:rsidR="00086F28" w:rsidRPr="00AD2E71">
        <w:rPr>
          <w:rFonts w:ascii="Arial" w:hAnsi="Arial" w:cs="Arial"/>
        </w:rPr>
        <w:t xml:space="preserve"> We tested whether the coefficients of the regression were </w:t>
      </w:r>
      <w:r w:rsidR="003769A8" w:rsidRPr="00AD2E71">
        <w:rPr>
          <w:rFonts w:ascii="Arial" w:hAnsi="Arial" w:cs="Arial"/>
        </w:rPr>
        <w:t>both equal to zero</w:t>
      </w:r>
      <w:r w:rsidR="00086F28" w:rsidRPr="00AD2E71">
        <w:rPr>
          <w:rFonts w:ascii="Arial" w:hAnsi="Arial" w:cs="Arial"/>
        </w:rPr>
        <w:t>.</w:t>
      </w:r>
      <w:r w:rsidRPr="00AD2E71">
        <w:rPr>
          <w:rFonts w:ascii="Arial" w:hAnsi="Arial" w:cs="Arial"/>
        </w:rPr>
        <w:t xml:space="preserve"> </w:t>
      </w:r>
      <w:r w:rsidR="00092743" w:rsidRPr="00AD2E71">
        <w:rPr>
          <w:rFonts w:ascii="Arial" w:hAnsi="Arial" w:cs="Arial"/>
        </w:rPr>
        <w:t xml:space="preserve"> </w:t>
      </w:r>
      <w:r w:rsidRPr="00AD2E71">
        <w:rPr>
          <w:rFonts w:ascii="Arial" w:hAnsi="Arial" w:cs="Arial"/>
        </w:rPr>
        <w:t xml:space="preserve">P-values and confidence intervals were provided using the Wald statistic.  </w:t>
      </w:r>
      <w:r w:rsidR="00086F28" w:rsidRPr="00AD2E71">
        <w:rPr>
          <w:rFonts w:ascii="Arial" w:hAnsi="Arial" w:cs="Arial"/>
        </w:rPr>
        <w:t>Also, w</w:t>
      </w:r>
      <w:r w:rsidR="00092743" w:rsidRPr="00AD2E71">
        <w:rPr>
          <w:rFonts w:ascii="Arial" w:hAnsi="Arial" w:cs="Arial"/>
        </w:rPr>
        <w:t xml:space="preserve">e </w:t>
      </w:r>
      <w:r w:rsidR="003769A8" w:rsidRPr="00AD2E71">
        <w:rPr>
          <w:rFonts w:ascii="Arial" w:hAnsi="Arial" w:cs="Arial"/>
        </w:rPr>
        <w:t>evaluated</w:t>
      </w:r>
      <w:r w:rsidR="00092743" w:rsidRPr="00AD2E71">
        <w:rPr>
          <w:rFonts w:ascii="Arial" w:hAnsi="Arial" w:cs="Arial"/>
        </w:rPr>
        <w:t xml:space="preserve"> linearity of the association between all-cause mortality and bilirubin using the Wald test</w:t>
      </w:r>
      <w:r w:rsidR="003769A8" w:rsidRPr="00AD2E71">
        <w:rPr>
          <w:rFonts w:ascii="Arial" w:hAnsi="Arial" w:cs="Arial"/>
        </w:rPr>
        <w:t xml:space="preserve"> where we tested whether the coefficient of the log bilirubin was zero</w:t>
      </w:r>
      <w:r w:rsidR="00092743" w:rsidRPr="00AD2E71">
        <w:rPr>
          <w:rFonts w:ascii="Arial" w:hAnsi="Arial" w:cs="Arial"/>
        </w:rPr>
        <w:t xml:space="preserve">. </w:t>
      </w:r>
    </w:p>
    <w:p w:rsidR="00C91633" w:rsidRPr="00AD2E71" w:rsidRDefault="00C91633" w:rsidP="00C91633">
      <w:pPr>
        <w:rPr>
          <w:rFonts w:ascii="Arial" w:hAnsi="Arial" w:cs="Arial"/>
        </w:rPr>
      </w:pPr>
      <w:r w:rsidRPr="00AD2E71">
        <w:rPr>
          <w:rFonts w:ascii="Arial" w:hAnsi="Arial" w:cs="Arial"/>
          <w:b/>
        </w:rPr>
        <w:t>Results:</w:t>
      </w:r>
      <w:r w:rsidRPr="00AD2E71">
        <w:rPr>
          <w:rFonts w:ascii="Arial" w:hAnsi="Arial" w:cs="Arial"/>
        </w:rPr>
        <w:t xml:space="preserve"> A total of 418 participants with available serum bilirubin levels were included in proportional hazards regression for time to all-cause death. There were 161 deaths over a mean follow-up of 8.35 years. From proportional hazards regression modeling </w:t>
      </w:r>
      <w:r w:rsidR="00086F28" w:rsidRPr="00AD2E71">
        <w:rPr>
          <w:rFonts w:ascii="Arial" w:hAnsi="Arial" w:cs="Arial"/>
        </w:rPr>
        <w:t xml:space="preserve">both </w:t>
      </w:r>
      <w:r w:rsidRPr="00AD2E71">
        <w:rPr>
          <w:rFonts w:ascii="Arial" w:hAnsi="Arial" w:cs="Arial"/>
        </w:rPr>
        <w:t xml:space="preserve">untransformed and transformed </w:t>
      </w:r>
      <w:r w:rsidR="00092743" w:rsidRPr="00AD2E71">
        <w:rPr>
          <w:rFonts w:ascii="Arial" w:hAnsi="Arial" w:cs="Arial"/>
        </w:rPr>
        <w:t xml:space="preserve">bilirubin, there was significant association between instantaneous hazard of death and bilirubin </w:t>
      </w:r>
      <w:r w:rsidR="00863328" w:rsidRPr="00AD2E71">
        <w:rPr>
          <w:rFonts w:ascii="Arial" w:hAnsi="Arial" w:cs="Arial"/>
        </w:rPr>
        <w:t>based on two-sided p=0.0001</w:t>
      </w:r>
      <w:r w:rsidR="00086F28" w:rsidRPr="00AD2E71">
        <w:rPr>
          <w:rFonts w:ascii="Arial" w:hAnsi="Arial" w:cs="Arial"/>
        </w:rPr>
        <w:t>.</w:t>
      </w:r>
      <w:r w:rsidR="00863328" w:rsidRPr="00AD2E71">
        <w:rPr>
          <w:rFonts w:ascii="Arial" w:hAnsi="Arial" w:cs="Arial"/>
        </w:rPr>
        <w:t xml:space="preserve"> A</w:t>
      </w:r>
      <w:r w:rsidR="00086F28" w:rsidRPr="00AD2E71">
        <w:rPr>
          <w:rFonts w:ascii="Arial" w:hAnsi="Arial" w:cs="Arial"/>
        </w:rPr>
        <w:t xml:space="preserve"> linearity test </w:t>
      </w:r>
      <w:r w:rsidR="00F24A55" w:rsidRPr="00AD2E71">
        <w:rPr>
          <w:rFonts w:ascii="Arial" w:hAnsi="Arial" w:cs="Arial"/>
        </w:rPr>
        <w:t xml:space="preserve">on the log-bilirubin term </w:t>
      </w:r>
      <w:r w:rsidR="003769A8" w:rsidRPr="00AD2E71">
        <w:rPr>
          <w:rFonts w:ascii="Arial" w:hAnsi="Arial" w:cs="Arial"/>
        </w:rPr>
        <w:t>in the model</w:t>
      </w:r>
      <w:r w:rsidR="00F24A55" w:rsidRPr="00AD2E71">
        <w:rPr>
          <w:rFonts w:ascii="Arial" w:hAnsi="Arial" w:cs="Arial"/>
        </w:rPr>
        <w:t xml:space="preserve"> </w:t>
      </w:r>
      <w:r w:rsidR="00490323" w:rsidRPr="00AD2E71">
        <w:rPr>
          <w:rFonts w:ascii="Arial" w:hAnsi="Arial" w:cs="Arial"/>
        </w:rPr>
        <w:t xml:space="preserve">suggests that </w:t>
      </w:r>
      <w:r w:rsidR="001E1DF4" w:rsidRPr="00AD2E71">
        <w:rPr>
          <w:rFonts w:ascii="Arial" w:hAnsi="Arial" w:cs="Arial"/>
        </w:rPr>
        <w:t xml:space="preserve">association between all-cause mortality and </w:t>
      </w:r>
      <w:r w:rsidR="00086F28" w:rsidRPr="00AD2E71">
        <w:rPr>
          <w:rFonts w:ascii="Arial" w:hAnsi="Arial" w:cs="Arial"/>
        </w:rPr>
        <w:t xml:space="preserve">serum bilirubin is </w:t>
      </w:r>
      <w:r w:rsidR="003769A8" w:rsidRPr="00AD2E71">
        <w:rPr>
          <w:rFonts w:ascii="Arial" w:hAnsi="Arial" w:cs="Arial"/>
        </w:rPr>
        <w:t xml:space="preserve">not </w:t>
      </w:r>
      <w:r w:rsidR="00086F28" w:rsidRPr="00AD2E71">
        <w:rPr>
          <w:rFonts w:ascii="Arial" w:hAnsi="Arial" w:cs="Arial"/>
        </w:rPr>
        <w:t>well-</w:t>
      </w:r>
      <w:r w:rsidR="00863328" w:rsidRPr="00AD2E71">
        <w:rPr>
          <w:rFonts w:ascii="Arial" w:hAnsi="Arial" w:cs="Arial"/>
        </w:rPr>
        <w:t>characterized by the</w:t>
      </w:r>
      <w:r w:rsidR="001E1DF4" w:rsidRPr="00AD2E71">
        <w:rPr>
          <w:rFonts w:ascii="Arial" w:hAnsi="Arial" w:cs="Arial"/>
        </w:rPr>
        <w:t xml:space="preserve"> log hazard function</w:t>
      </w:r>
      <w:r w:rsidR="003769A8" w:rsidRPr="00AD2E71">
        <w:rPr>
          <w:rFonts w:ascii="Arial" w:hAnsi="Arial" w:cs="Arial"/>
        </w:rPr>
        <w:t xml:space="preserve"> that is linear in bilirubin</w:t>
      </w:r>
      <w:r w:rsidR="00490323" w:rsidRPr="00AD2E71">
        <w:rPr>
          <w:rFonts w:ascii="Arial" w:hAnsi="Arial" w:cs="Arial"/>
        </w:rPr>
        <w:t xml:space="preserve"> </w:t>
      </w:r>
      <w:r w:rsidR="001E1DF4" w:rsidRPr="00AD2E71">
        <w:rPr>
          <w:rFonts w:ascii="Arial" w:hAnsi="Arial" w:cs="Arial"/>
        </w:rPr>
        <w:t>(p=0.001).</w:t>
      </w:r>
    </w:p>
    <w:p w:rsidR="002131D4" w:rsidRPr="00AD2E71" w:rsidRDefault="002131D4" w:rsidP="00C91633">
      <w:pPr>
        <w:rPr>
          <w:rFonts w:ascii="Arial" w:hAnsi="Arial" w:cs="Arial"/>
          <w:u w:val="single"/>
        </w:rPr>
      </w:pPr>
    </w:p>
    <w:p w:rsidR="002131D4" w:rsidRPr="00AD2E71" w:rsidRDefault="002131D4" w:rsidP="00C91633">
      <w:pPr>
        <w:rPr>
          <w:rFonts w:ascii="Arial" w:hAnsi="Arial" w:cs="Arial"/>
          <w:u w:val="single"/>
        </w:rPr>
      </w:pPr>
    </w:p>
    <w:p w:rsidR="002131D4" w:rsidRPr="00AD2E71" w:rsidRDefault="002131D4" w:rsidP="00C91633">
      <w:pPr>
        <w:rPr>
          <w:rFonts w:ascii="Arial" w:hAnsi="Arial" w:cs="Arial"/>
          <w:u w:val="single"/>
        </w:rPr>
      </w:pPr>
    </w:p>
    <w:p w:rsidR="002131D4" w:rsidRPr="00AD2E71" w:rsidRDefault="002131D4" w:rsidP="00C91633">
      <w:pPr>
        <w:rPr>
          <w:rFonts w:ascii="Arial" w:hAnsi="Arial" w:cs="Arial"/>
          <w:u w:val="single"/>
        </w:rPr>
      </w:pPr>
    </w:p>
    <w:p w:rsidR="00863328" w:rsidRPr="00AD2E71" w:rsidRDefault="00863328" w:rsidP="00C91633">
      <w:pPr>
        <w:rPr>
          <w:rFonts w:ascii="Arial" w:hAnsi="Arial" w:cs="Arial"/>
          <w:u w:val="single"/>
        </w:rPr>
      </w:pPr>
      <w:r w:rsidRPr="00AD2E71">
        <w:rPr>
          <w:rFonts w:ascii="Arial" w:hAnsi="Arial" w:cs="Arial"/>
          <w:u w:val="single"/>
        </w:rPr>
        <w:t>Question 6</w:t>
      </w:r>
    </w:p>
    <w:p w:rsidR="00C83576" w:rsidRPr="00AD2E71" w:rsidRDefault="004D6309" w:rsidP="00C91633">
      <w:pPr>
        <w:rPr>
          <w:rFonts w:ascii="Arial" w:hAnsi="Arial" w:cs="Arial"/>
          <w:u w:val="single"/>
        </w:rPr>
      </w:pPr>
      <w:r w:rsidRPr="00AD2E71">
        <w:rPr>
          <w:rFonts w:ascii="Arial" w:hAnsi="Arial" w:cs="Arial"/>
          <w:noProof/>
          <w:u w:val="single"/>
        </w:rPr>
        <w:drawing>
          <wp:inline distT="0" distB="0" distL="0" distR="0" wp14:anchorId="2EC8BEA1" wp14:editId="6645F23D">
            <wp:extent cx="4190658" cy="307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145" cy="3075224"/>
                    </a:xfrm>
                    <a:prstGeom prst="rect">
                      <a:avLst/>
                    </a:prstGeom>
                    <a:noFill/>
                    <a:ln>
                      <a:noFill/>
                    </a:ln>
                  </pic:spPr>
                </pic:pic>
              </a:graphicData>
            </a:graphic>
          </wp:inline>
        </w:drawing>
      </w:r>
    </w:p>
    <w:p w:rsidR="004D6309" w:rsidRPr="00AD2E71" w:rsidRDefault="004D6309" w:rsidP="00C91633">
      <w:pPr>
        <w:rPr>
          <w:rFonts w:ascii="Arial" w:hAnsi="Arial" w:cs="Arial"/>
        </w:rPr>
      </w:pPr>
      <w:r w:rsidRPr="00AD2E71">
        <w:rPr>
          <w:rFonts w:ascii="Arial" w:hAnsi="Arial" w:cs="Arial"/>
        </w:rPr>
        <w:t xml:space="preserve">A plot of the fitted values for relative hazards from the previous three proportional hazards models is shown above. All three fitted models show a positive upward trend, </w:t>
      </w:r>
      <w:proofErr w:type="spellStart"/>
      <w:r w:rsidRPr="00AD2E71">
        <w:rPr>
          <w:rFonts w:ascii="Arial" w:hAnsi="Arial" w:cs="Arial"/>
        </w:rPr>
        <w:t>ie</w:t>
      </w:r>
      <w:proofErr w:type="spellEnd"/>
      <w:r w:rsidRPr="00AD2E71">
        <w:rPr>
          <w:rFonts w:ascii="Arial" w:hAnsi="Arial" w:cs="Arial"/>
        </w:rPr>
        <w:t>, that higher values of bilirubin are associated with greater relative hazards. The line</w:t>
      </w:r>
      <w:r w:rsidR="00922E4A" w:rsidRPr="00AD2E71">
        <w:rPr>
          <w:rFonts w:ascii="Arial" w:hAnsi="Arial" w:cs="Arial"/>
        </w:rPr>
        <w:t>ar fit (shown in blue) is most different from the other two with a u-shape and greatest differences from the others over the range of bilirubin from approximately 7-20 mg/</w:t>
      </w:r>
      <w:proofErr w:type="spellStart"/>
      <w:r w:rsidR="00922E4A" w:rsidRPr="00AD2E71">
        <w:rPr>
          <w:rFonts w:ascii="Arial" w:hAnsi="Arial" w:cs="Arial"/>
        </w:rPr>
        <w:t>dL</w:t>
      </w:r>
      <w:proofErr w:type="spellEnd"/>
      <w:r w:rsidR="00922E4A" w:rsidRPr="00AD2E71">
        <w:rPr>
          <w:rFonts w:ascii="Arial" w:hAnsi="Arial" w:cs="Arial"/>
        </w:rPr>
        <w:t>. The log fit (green) and log-linear fit (red) show great similarity until approximately bilirubin 17 mg/</w:t>
      </w:r>
      <w:proofErr w:type="spellStart"/>
      <w:r w:rsidR="00922E4A" w:rsidRPr="00AD2E71">
        <w:rPr>
          <w:rFonts w:ascii="Arial" w:hAnsi="Arial" w:cs="Arial"/>
        </w:rPr>
        <w:t>dL</w:t>
      </w:r>
      <w:proofErr w:type="spellEnd"/>
      <w:r w:rsidR="00922E4A" w:rsidRPr="00AD2E71">
        <w:rPr>
          <w:rFonts w:ascii="Arial" w:hAnsi="Arial" w:cs="Arial"/>
        </w:rPr>
        <w:t>, in which case the log-linear fit levels off and log fit continues on</w:t>
      </w:r>
      <w:r w:rsidR="00490323" w:rsidRPr="00AD2E71">
        <w:rPr>
          <w:rFonts w:ascii="Arial" w:hAnsi="Arial" w:cs="Arial"/>
        </w:rPr>
        <w:t>.</w:t>
      </w:r>
    </w:p>
    <w:p w:rsidR="00922E4A" w:rsidRPr="00AD2E71" w:rsidRDefault="00AC5112" w:rsidP="00C91633">
      <w:pPr>
        <w:rPr>
          <w:rFonts w:ascii="Arial" w:hAnsi="Arial" w:cs="Arial"/>
          <w:u w:val="single"/>
        </w:rPr>
      </w:pPr>
      <w:r w:rsidRPr="00AD2E71">
        <w:rPr>
          <w:rFonts w:ascii="Arial" w:hAnsi="Arial" w:cs="Arial"/>
          <w:u w:val="single"/>
        </w:rPr>
        <w:t>Question 7</w:t>
      </w:r>
    </w:p>
    <w:p w:rsidR="00961DF9" w:rsidRPr="00AD2E71" w:rsidRDefault="00AC5112" w:rsidP="00C91633">
      <w:pPr>
        <w:rPr>
          <w:rFonts w:ascii="Arial" w:hAnsi="Arial" w:cs="Arial"/>
        </w:rPr>
      </w:pPr>
      <w:r w:rsidRPr="00AD2E71">
        <w:rPr>
          <w:rFonts w:ascii="Arial" w:hAnsi="Arial" w:cs="Arial"/>
          <w:i/>
        </w:rPr>
        <w:t>Part A</w:t>
      </w:r>
      <w:r w:rsidR="00AD2E71">
        <w:rPr>
          <w:rFonts w:ascii="Arial" w:hAnsi="Arial" w:cs="Arial"/>
          <w:i/>
        </w:rPr>
        <w:br/>
      </w:r>
      <w:proofErr w:type="gramStart"/>
      <w:r w:rsidR="003061B2" w:rsidRPr="00AD2E71">
        <w:rPr>
          <w:rFonts w:ascii="Arial" w:hAnsi="Arial" w:cs="Arial"/>
        </w:rPr>
        <w:t>As</w:t>
      </w:r>
      <w:proofErr w:type="gramEnd"/>
      <w:r w:rsidR="003061B2" w:rsidRPr="00AD2E71">
        <w:rPr>
          <w:rFonts w:ascii="Arial" w:hAnsi="Arial" w:cs="Arial"/>
        </w:rPr>
        <w:t xml:space="preserve"> shown in the </w:t>
      </w:r>
      <w:r w:rsidR="0034684F" w:rsidRPr="00AD2E71">
        <w:rPr>
          <w:rFonts w:ascii="Arial" w:hAnsi="Arial" w:cs="Arial"/>
        </w:rPr>
        <w:t>descriptive statistics table,</w:t>
      </w:r>
      <w:r w:rsidR="003061B2" w:rsidRPr="00AD2E71">
        <w:rPr>
          <w:rFonts w:ascii="Arial" w:hAnsi="Arial" w:cs="Arial"/>
        </w:rPr>
        <w:t xml:space="preserve"> there do not appear to be large differences in age across groups determined </w:t>
      </w:r>
      <w:r w:rsidR="00961DF9" w:rsidRPr="00AD2E71">
        <w:rPr>
          <w:rFonts w:ascii="Arial" w:hAnsi="Arial" w:cs="Arial"/>
        </w:rPr>
        <w:t>by serum bilirubin (mean age</w:t>
      </w:r>
      <w:r w:rsidR="00915B5A" w:rsidRPr="00AD2E71">
        <w:rPr>
          <w:rFonts w:ascii="Arial" w:hAnsi="Arial" w:cs="Arial"/>
        </w:rPr>
        <w:t xml:space="preserve"> approximately </w:t>
      </w:r>
      <w:r w:rsidR="00961DF9" w:rsidRPr="00AD2E71">
        <w:rPr>
          <w:rFonts w:ascii="Arial" w:hAnsi="Arial" w:cs="Arial"/>
        </w:rPr>
        <w:t xml:space="preserve">50), which suggests that age is not related to serum bilirubin. Thus, we do not consider age to be a confounder in the relationship between bilirubin and all-cause mortality. </w:t>
      </w:r>
    </w:p>
    <w:p w:rsidR="00961DF9" w:rsidRPr="00AD2E71" w:rsidRDefault="00961DF9" w:rsidP="00C91633">
      <w:pPr>
        <w:rPr>
          <w:rFonts w:ascii="Arial" w:hAnsi="Arial" w:cs="Arial"/>
        </w:rPr>
      </w:pPr>
      <w:r w:rsidRPr="00AD2E71">
        <w:rPr>
          <w:rFonts w:ascii="Arial" w:hAnsi="Arial" w:cs="Arial"/>
        </w:rPr>
        <w:t xml:space="preserve">As shown in </w:t>
      </w:r>
      <w:r w:rsidR="0034684F" w:rsidRPr="00AD2E71">
        <w:rPr>
          <w:rFonts w:ascii="Arial" w:hAnsi="Arial" w:cs="Arial"/>
        </w:rPr>
        <w:t>the descriptive statistics table,</w:t>
      </w:r>
      <w:r w:rsidRPr="00AD2E71">
        <w:rPr>
          <w:rFonts w:ascii="Arial" w:hAnsi="Arial" w:cs="Arial"/>
        </w:rPr>
        <w:t xml:space="preserve"> there are some differences in proportion of females across groups determined by serum bilirubin. However, it is important to note that the numbers of individuals in the groups with higher bilirubin are very small (&lt;20) so small shifts </w:t>
      </w:r>
      <w:r w:rsidR="00BC5832" w:rsidRPr="00AD2E71">
        <w:rPr>
          <w:rFonts w:ascii="Arial" w:hAnsi="Arial" w:cs="Arial"/>
        </w:rPr>
        <w:t>in counts</w:t>
      </w:r>
      <w:r w:rsidRPr="00AD2E71">
        <w:rPr>
          <w:rFonts w:ascii="Arial" w:hAnsi="Arial" w:cs="Arial"/>
        </w:rPr>
        <w:t xml:space="preserve"> reflect larger changes in proportion females. Thus, we do not consider female sex to be a confounder </w:t>
      </w:r>
      <w:r w:rsidR="00BC5832" w:rsidRPr="00AD2E71">
        <w:rPr>
          <w:rFonts w:ascii="Arial" w:hAnsi="Arial" w:cs="Arial"/>
        </w:rPr>
        <w:t>in the relationship between bilirubin and all-cause mortality.</w:t>
      </w:r>
    </w:p>
    <w:p w:rsidR="001B2213" w:rsidRPr="00AD2E71" w:rsidRDefault="001B2213" w:rsidP="00470523">
      <w:pPr>
        <w:spacing w:after="0" w:line="240" w:lineRule="auto"/>
        <w:rPr>
          <w:rFonts w:ascii="Arial" w:hAnsi="Arial" w:cs="Arial"/>
          <w:i/>
        </w:rPr>
      </w:pPr>
      <w:r w:rsidRPr="00AD2E71">
        <w:rPr>
          <w:rFonts w:ascii="Arial" w:hAnsi="Arial" w:cs="Arial"/>
          <w:i/>
        </w:rPr>
        <w:t>Part B</w:t>
      </w:r>
    </w:p>
    <w:p w:rsidR="00FF4C11" w:rsidRPr="00AD2E71" w:rsidRDefault="0013095A" w:rsidP="001B2213">
      <w:pPr>
        <w:spacing w:after="0" w:line="240" w:lineRule="auto"/>
        <w:rPr>
          <w:rFonts w:ascii="Arial" w:hAnsi="Arial" w:cs="Arial"/>
        </w:rPr>
      </w:pPr>
      <w:r w:rsidRPr="00AD2E71">
        <w:rPr>
          <w:rFonts w:ascii="Arial" w:hAnsi="Arial" w:cs="Arial"/>
        </w:rPr>
        <w:t xml:space="preserve">As we presume that age and sex are not confounders, </w:t>
      </w:r>
      <w:r w:rsidR="00A86F40" w:rsidRPr="00AD2E71">
        <w:rPr>
          <w:rFonts w:ascii="Arial" w:hAnsi="Arial" w:cs="Arial"/>
        </w:rPr>
        <w:t xml:space="preserve">we can evaluate whether age and sex might be precision variables. </w:t>
      </w:r>
      <w:r w:rsidR="00A86F40" w:rsidRPr="00AD2E71">
        <w:rPr>
          <w:rFonts w:ascii="Arial" w:hAnsi="Arial" w:cs="Arial"/>
        </w:rPr>
        <w:t>We can judge this by looking at the</w:t>
      </w:r>
      <w:r w:rsidR="00A86F40" w:rsidRPr="00AD2E71">
        <w:rPr>
          <w:rFonts w:ascii="Arial" w:hAnsi="Arial" w:cs="Arial"/>
        </w:rPr>
        <w:t xml:space="preserve"> HRs and 95%CIs</w:t>
      </w:r>
      <w:r w:rsidR="00A86F40" w:rsidRPr="00AD2E71">
        <w:rPr>
          <w:rFonts w:ascii="Arial" w:hAnsi="Arial" w:cs="Arial"/>
        </w:rPr>
        <w:t xml:space="preserve"> of the analysis stratified by age and gender. Age was cut into three groups.</w:t>
      </w:r>
      <w:r w:rsidR="00A86F40" w:rsidRPr="00AD2E71">
        <w:rPr>
          <w:rFonts w:ascii="Arial" w:hAnsi="Arial" w:cs="Arial"/>
        </w:rPr>
        <w:t xml:space="preserve"> The bulk of the data lie in the 40-60 age </w:t>
      </w:r>
      <w:proofErr w:type="gramStart"/>
      <w:r w:rsidR="00A86F40" w:rsidRPr="00AD2E71">
        <w:rPr>
          <w:rFonts w:ascii="Arial" w:hAnsi="Arial" w:cs="Arial"/>
        </w:rPr>
        <w:t>group</w:t>
      </w:r>
      <w:proofErr w:type="gramEnd"/>
      <w:r w:rsidR="00A86F40" w:rsidRPr="00AD2E71">
        <w:rPr>
          <w:rFonts w:ascii="Arial" w:hAnsi="Arial" w:cs="Arial"/>
        </w:rPr>
        <w:t xml:space="preserve">, and the estimated HR is higher than the crude estimate. As a rule, </w:t>
      </w:r>
      <w:r w:rsidR="00A86F40" w:rsidRPr="00AD2E71">
        <w:rPr>
          <w:rFonts w:ascii="Arial" w:hAnsi="Arial" w:cs="Arial"/>
        </w:rPr>
        <w:lastRenderedPageBreak/>
        <w:t>omission of precision variables in PH regression attenuates the association toward the null. Thus, because we saw an increased effect in the subgroup, we might anticipate de-</w:t>
      </w:r>
      <w:proofErr w:type="spellStart"/>
      <w:r w:rsidR="00A86F40" w:rsidRPr="00AD2E71">
        <w:rPr>
          <w:rFonts w:ascii="Arial" w:hAnsi="Arial" w:cs="Arial"/>
        </w:rPr>
        <w:t>attentuation</w:t>
      </w:r>
      <w:proofErr w:type="spellEnd"/>
      <w:r w:rsidR="00A86F40" w:rsidRPr="00AD2E71">
        <w:rPr>
          <w:rFonts w:ascii="Arial" w:hAnsi="Arial" w:cs="Arial"/>
        </w:rPr>
        <w:t xml:space="preserve"> when we adjust for age. In the case of age, we see that the bulk of the data are for females, where we see that the HR is again higher than the crude estimate. Thus, adjusting for female sex will de-</w:t>
      </w:r>
      <w:proofErr w:type="spellStart"/>
      <w:r w:rsidR="00A86F40" w:rsidRPr="00AD2E71">
        <w:rPr>
          <w:rFonts w:ascii="Arial" w:hAnsi="Arial" w:cs="Arial"/>
        </w:rPr>
        <w:t>attentuate</w:t>
      </w:r>
      <w:proofErr w:type="spellEnd"/>
      <w:r w:rsidR="00A86F40" w:rsidRPr="00AD2E71">
        <w:rPr>
          <w:rFonts w:ascii="Arial" w:hAnsi="Arial" w:cs="Arial"/>
        </w:rPr>
        <w:t xml:space="preserve"> our association (</w:t>
      </w:r>
      <w:r w:rsidR="0098397B" w:rsidRPr="00AD2E71">
        <w:rPr>
          <w:rFonts w:ascii="Arial" w:hAnsi="Arial" w:cs="Arial"/>
        </w:rPr>
        <w:t xml:space="preserve">i.e. move it further </w:t>
      </w:r>
      <w:r w:rsidR="00A86F40" w:rsidRPr="00AD2E71">
        <w:rPr>
          <w:rFonts w:ascii="Arial" w:hAnsi="Arial" w:cs="Arial"/>
        </w:rPr>
        <w:t xml:space="preserve">away from the null). </w:t>
      </w:r>
    </w:p>
    <w:p w:rsidR="00FF4C11" w:rsidRPr="00AD2E71" w:rsidRDefault="00FF4C11" w:rsidP="001B2213">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1084"/>
        <w:gridCol w:w="2815"/>
        <w:gridCol w:w="2815"/>
      </w:tblGrid>
      <w:tr w:rsidR="00FD506A" w:rsidRPr="00AD2E71" w:rsidTr="00A86F40">
        <w:trPr>
          <w:trHeight w:val="248"/>
        </w:trPr>
        <w:tc>
          <w:tcPr>
            <w:tcW w:w="1084"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Group</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HR</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SE</w:t>
            </w:r>
          </w:p>
        </w:tc>
      </w:tr>
      <w:tr w:rsidR="00FD506A" w:rsidRPr="00AD2E71" w:rsidTr="00A86F40">
        <w:trPr>
          <w:trHeight w:val="237"/>
        </w:trPr>
        <w:tc>
          <w:tcPr>
            <w:tcW w:w="1084"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Crude</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 xml:space="preserve">1.98 </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0.110</w:t>
            </w:r>
          </w:p>
        </w:tc>
      </w:tr>
      <w:tr w:rsidR="00FD506A" w:rsidRPr="00AD2E71" w:rsidTr="00A86F40">
        <w:trPr>
          <w:trHeight w:val="237"/>
        </w:trPr>
        <w:tc>
          <w:tcPr>
            <w:tcW w:w="1084"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28-40 (n=69)</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2.14</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0.560</w:t>
            </w:r>
          </w:p>
        </w:tc>
      </w:tr>
      <w:tr w:rsidR="00FD506A" w:rsidRPr="00AD2E71" w:rsidTr="00A86F40">
        <w:trPr>
          <w:trHeight w:val="248"/>
        </w:trPr>
        <w:tc>
          <w:tcPr>
            <w:tcW w:w="1084"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40-60 (n=261)</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2.16</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0.157</w:t>
            </w:r>
          </w:p>
        </w:tc>
      </w:tr>
      <w:tr w:rsidR="00FD506A" w:rsidRPr="00AD2E71" w:rsidTr="00A86F40">
        <w:trPr>
          <w:trHeight w:val="237"/>
        </w:trPr>
        <w:tc>
          <w:tcPr>
            <w:tcW w:w="1084"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 xml:space="preserve">60+ (n=88) </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 xml:space="preserve">1.70 </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0.201</w:t>
            </w:r>
          </w:p>
        </w:tc>
      </w:tr>
      <w:tr w:rsidR="00FD506A" w:rsidRPr="00AD2E71" w:rsidTr="00A86F40">
        <w:trPr>
          <w:trHeight w:val="237"/>
        </w:trPr>
        <w:tc>
          <w:tcPr>
            <w:tcW w:w="1084"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Females (n=276)</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2.20</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0.149</w:t>
            </w:r>
          </w:p>
        </w:tc>
      </w:tr>
      <w:tr w:rsidR="00FD506A" w:rsidRPr="00AD2E71" w:rsidTr="00A86F40">
        <w:trPr>
          <w:trHeight w:val="237"/>
        </w:trPr>
        <w:tc>
          <w:tcPr>
            <w:tcW w:w="1084"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Males (n=36)</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1.39</w:t>
            </w:r>
          </w:p>
        </w:tc>
        <w:tc>
          <w:tcPr>
            <w:tcW w:w="2815" w:type="dxa"/>
            <w:vAlign w:val="center"/>
          </w:tcPr>
          <w:p w:rsidR="00FD506A" w:rsidRPr="00AD2E71" w:rsidRDefault="00FD506A" w:rsidP="00FD506A">
            <w:pPr>
              <w:rPr>
                <w:rFonts w:ascii="Arial" w:hAnsi="Arial" w:cs="Arial"/>
                <w:sz w:val="14"/>
                <w:szCs w:val="14"/>
              </w:rPr>
            </w:pPr>
            <w:r w:rsidRPr="00AD2E71">
              <w:rPr>
                <w:rFonts w:ascii="Arial" w:hAnsi="Arial" w:cs="Arial"/>
                <w:sz w:val="14"/>
                <w:szCs w:val="14"/>
              </w:rPr>
              <w:t>0.244</w:t>
            </w:r>
          </w:p>
        </w:tc>
      </w:tr>
    </w:tbl>
    <w:p w:rsidR="00A97AA6" w:rsidRPr="00AD2E71" w:rsidRDefault="00A97AA6" w:rsidP="001B2213">
      <w:pPr>
        <w:spacing w:after="0" w:line="240" w:lineRule="auto"/>
        <w:rPr>
          <w:rFonts w:ascii="Arial" w:hAnsi="Arial" w:cs="Arial"/>
        </w:rPr>
      </w:pPr>
    </w:p>
    <w:p w:rsidR="00A97AA6" w:rsidRPr="00AD2E71" w:rsidRDefault="00A97AA6" w:rsidP="001B2213">
      <w:pPr>
        <w:spacing w:after="0" w:line="240" w:lineRule="auto"/>
        <w:rPr>
          <w:rFonts w:ascii="Arial" w:hAnsi="Arial" w:cs="Arial"/>
          <w:i/>
        </w:rPr>
      </w:pPr>
      <w:r w:rsidRPr="00AD2E71">
        <w:rPr>
          <w:rFonts w:ascii="Arial" w:hAnsi="Arial" w:cs="Arial"/>
          <w:i/>
        </w:rPr>
        <w:t>Part C</w:t>
      </w:r>
    </w:p>
    <w:p w:rsidR="00A97AA6" w:rsidRPr="00AD2E71" w:rsidRDefault="00A97AA6" w:rsidP="00A97AA6">
      <w:pPr>
        <w:rPr>
          <w:rFonts w:ascii="Arial" w:hAnsi="Arial" w:cs="Arial"/>
        </w:rPr>
      </w:pPr>
      <w:r w:rsidRPr="00AD2E71">
        <w:rPr>
          <w:rFonts w:ascii="Arial" w:hAnsi="Arial" w:cs="Arial"/>
          <w:b/>
        </w:rPr>
        <w:t>Methods:</w:t>
      </w:r>
      <w:r w:rsidRPr="00AD2E71">
        <w:rPr>
          <w:rFonts w:ascii="Arial" w:hAnsi="Arial" w:cs="Arial"/>
        </w:rPr>
        <w:t xml:space="preserve"> We used proportional hazards model adjusted for age and sex to evaluate the distribution of time to death across groups defined by a predictor, serum bilirubin. Serum bilirubin (mg/</w:t>
      </w:r>
      <w:proofErr w:type="spellStart"/>
      <w:r w:rsidRPr="00AD2E71">
        <w:rPr>
          <w:rFonts w:ascii="Arial" w:hAnsi="Arial" w:cs="Arial"/>
        </w:rPr>
        <w:t>dL</w:t>
      </w:r>
      <w:proofErr w:type="spellEnd"/>
      <w:r w:rsidRPr="00AD2E71">
        <w:rPr>
          <w:rFonts w:ascii="Arial" w:hAnsi="Arial" w:cs="Arial"/>
        </w:rPr>
        <w:t xml:space="preserve">) was modeled as a continuous base-2 logarithmically transformed variable. Death from any cause was a binary variable. A hazard ratio for the association between mortality and serum bilirubin was generated from the regression. P-values and confidence intervals were provided using the Wald statistic.  </w:t>
      </w:r>
    </w:p>
    <w:p w:rsidR="000C056B" w:rsidRPr="00AD2E71" w:rsidRDefault="00A97AA6" w:rsidP="002131D4">
      <w:pPr>
        <w:rPr>
          <w:rFonts w:ascii="Arial" w:hAnsi="Arial" w:cs="Arial"/>
        </w:rPr>
      </w:pPr>
      <w:r w:rsidRPr="00AD2E71">
        <w:rPr>
          <w:rFonts w:ascii="Arial" w:hAnsi="Arial" w:cs="Arial"/>
          <w:b/>
        </w:rPr>
        <w:t>Results:</w:t>
      </w:r>
      <w:r w:rsidRPr="00AD2E71">
        <w:rPr>
          <w:rFonts w:ascii="Arial" w:hAnsi="Arial" w:cs="Arial"/>
        </w:rPr>
        <w:t xml:space="preserve"> A total of 418 participants with available serum bilirubin levels were included in proportional hazards regression for time to all-cause death. There were 161 deaths over a mean follow-up of 8.35 years. From proportional hazards regression, the estimated instantaneous risk of death is increased by a relative 2.1-fold for each doubling in serum bilirubin. With 95% confidence, the observed estimate is consistent with a relative increase between 1.8- and 2.4-fold. With two-sided p-value of p&lt;0.001, we reject the null hypothesis that the risk of death is not associated with serum bilirubin level. All-cause mortality was increased with increased serum bilirubin.</w:t>
      </w:r>
    </w:p>
    <w:p w:rsidR="00250587" w:rsidRPr="00AD2E71" w:rsidRDefault="000C056B" w:rsidP="001B2213">
      <w:pPr>
        <w:spacing w:after="0" w:line="240" w:lineRule="auto"/>
        <w:rPr>
          <w:rFonts w:ascii="Arial" w:hAnsi="Arial" w:cs="Arial"/>
          <w:u w:val="single"/>
        </w:rPr>
      </w:pPr>
      <w:r w:rsidRPr="00AD2E71">
        <w:rPr>
          <w:rFonts w:ascii="Arial" w:hAnsi="Arial" w:cs="Arial"/>
          <w:u w:val="single"/>
        </w:rPr>
        <w:t>Question 8</w:t>
      </w:r>
    </w:p>
    <w:p w:rsidR="00250587" w:rsidRPr="00AD2E71" w:rsidRDefault="00250587" w:rsidP="001B2213">
      <w:pPr>
        <w:spacing w:after="0" w:line="240" w:lineRule="auto"/>
        <w:rPr>
          <w:rFonts w:ascii="Arial" w:hAnsi="Arial" w:cs="Arial"/>
          <w:u w:val="single"/>
        </w:rPr>
      </w:pPr>
    </w:p>
    <w:p w:rsidR="00A86F40" w:rsidRPr="00AD2E71" w:rsidRDefault="00250587" w:rsidP="001B2213">
      <w:pPr>
        <w:spacing w:after="0" w:line="240" w:lineRule="auto"/>
        <w:rPr>
          <w:rFonts w:ascii="Arial" w:hAnsi="Arial" w:cs="Arial"/>
        </w:rPr>
      </w:pPr>
      <w:r w:rsidRPr="00AD2E71">
        <w:rPr>
          <w:rFonts w:ascii="Arial" w:hAnsi="Arial" w:cs="Arial"/>
        </w:rPr>
        <w:t>Intervention could serve as a</w:t>
      </w:r>
      <w:r w:rsidR="006E3345" w:rsidRPr="00AD2E71">
        <w:rPr>
          <w:rFonts w:ascii="Arial" w:hAnsi="Arial" w:cs="Arial"/>
        </w:rPr>
        <w:t>n effect modifier or precision variable</w:t>
      </w:r>
      <w:r w:rsidRPr="00AD2E71">
        <w:rPr>
          <w:rFonts w:ascii="Arial" w:hAnsi="Arial" w:cs="Arial"/>
        </w:rPr>
        <w:t xml:space="preserve"> because in being randomized it is not associated with our predictor of interest bilirubin. The intervention</w:t>
      </w:r>
      <w:r w:rsidR="006E3345" w:rsidRPr="00AD2E71">
        <w:rPr>
          <w:rFonts w:ascii="Arial" w:hAnsi="Arial" w:cs="Arial"/>
        </w:rPr>
        <w:t xml:space="preserve"> may</w:t>
      </w:r>
      <w:r w:rsidRPr="00AD2E71">
        <w:rPr>
          <w:rFonts w:ascii="Arial" w:hAnsi="Arial" w:cs="Arial"/>
        </w:rPr>
        <w:t xml:space="preserve"> have some potential effect on </w:t>
      </w:r>
      <w:r w:rsidR="006E3345" w:rsidRPr="00AD2E71">
        <w:rPr>
          <w:rFonts w:ascii="Arial" w:hAnsi="Arial" w:cs="Arial"/>
        </w:rPr>
        <w:t xml:space="preserve">all-cause mortality. Thus, for effect modification, we would expect that </w:t>
      </w:r>
      <w:r w:rsidR="008413B3" w:rsidRPr="00AD2E71">
        <w:rPr>
          <w:rFonts w:ascii="Arial" w:hAnsi="Arial" w:cs="Arial"/>
        </w:rPr>
        <w:t>a stratified analysis on treatment</w:t>
      </w:r>
      <w:r w:rsidR="006E3345" w:rsidRPr="00AD2E71">
        <w:rPr>
          <w:rFonts w:ascii="Arial" w:hAnsi="Arial" w:cs="Arial"/>
        </w:rPr>
        <w:t xml:space="preserve"> might show differences in the estimate of the association between bilirubin and all-cause mortality.  For precision,</w:t>
      </w:r>
      <w:r w:rsidR="008413B3" w:rsidRPr="00AD2E71">
        <w:rPr>
          <w:rFonts w:ascii="Arial" w:hAnsi="Arial" w:cs="Arial"/>
        </w:rPr>
        <w:t xml:space="preserve"> in an adjusted analysis</w:t>
      </w:r>
      <w:r w:rsidR="006E3345" w:rsidRPr="00AD2E71">
        <w:rPr>
          <w:rFonts w:ascii="Arial" w:hAnsi="Arial" w:cs="Arial"/>
        </w:rPr>
        <w:t xml:space="preserve"> we would expect the estimates would be quite similar but possibly the SE</w:t>
      </w:r>
      <w:r w:rsidR="008413B3" w:rsidRPr="00AD2E71">
        <w:rPr>
          <w:rFonts w:ascii="Arial" w:hAnsi="Arial" w:cs="Arial"/>
        </w:rPr>
        <w:t xml:space="preserve"> would be smaller</w:t>
      </w:r>
      <w:r w:rsidR="006E3345" w:rsidRPr="00AD2E71">
        <w:rPr>
          <w:rFonts w:ascii="Arial" w:hAnsi="Arial" w:cs="Arial"/>
        </w:rPr>
        <w:t xml:space="preserve"> and the 95% CI would </w:t>
      </w:r>
      <w:r w:rsidR="008413B3" w:rsidRPr="00AD2E71">
        <w:rPr>
          <w:rFonts w:ascii="Arial" w:hAnsi="Arial" w:cs="Arial"/>
        </w:rPr>
        <w:t xml:space="preserve">be narrower. </w:t>
      </w:r>
      <w:r w:rsidR="006947D5" w:rsidRPr="00AD2E71">
        <w:rPr>
          <w:rFonts w:ascii="Arial" w:hAnsi="Arial" w:cs="Arial"/>
        </w:rPr>
        <w:t xml:space="preserve">In the cases observed below, we see a tiny difference between placebo and treatment in stratified analysis, where the crude estimate is a weighted average of the stratum-specific. Thus, the adjusted model may be more precise, but is quite similar to the crude in the estimate. </w:t>
      </w:r>
      <w:bookmarkStart w:id="0" w:name="_GoBack"/>
      <w:bookmarkEnd w:id="0"/>
    </w:p>
    <w:tbl>
      <w:tblPr>
        <w:tblStyle w:val="TableGrid"/>
        <w:tblW w:w="0" w:type="auto"/>
        <w:tblInd w:w="108" w:type="dxa"/>
        <w:tblLook w:val="04A0" w:firstRow="1" w:lastRow="0" w:firstColumn="1" w:lastColumn="0" w:noHBand="0" w:noVBand="1"/>
      </w:tblPr>
      <w:tblGrid>
        <w:gridCol w:w="1427"/>
        <w:gridCol w:w="2815"/>
        <w:gridCol w:w="2815"/>
      </w:tblGrid>
      <w:tr w:rsidR="00A86F40" w:rsidRPr="00AD2E71" w:rsidTr="00FA150A">
        <w:trPr>
          <w:trHeight w:val="248"/>
        </w:trPr>
        <w:tc>
          <w:tcPr>
            <w:tcW w:w="1084" w:type="dxa"/>
            <w:vAlign w:val="center"/>
          </w:tcPr>
          <w:p w:rsidR="00A86F40" w:rsidRPr="00AD2E71" w:rsidRDefault="00A86F40" w:rsidP="00FA150A">
            <w:pPr>
              <w:rPr>
                <w:rFonts w:ascii="Arial" w:hAnsi="Arial" w:cs="Arial"/>
                <w:sz w:val="14"/>
                <w:szCs w:val="14"/>
              </w:rPr>
            </w:pPr>
            <w:r w:rsidRPr="00AD2E71">
              <w:rPr>
                <w:rFonts w:ascii="Arial" w:hAnsi="Arial" w:cs="Arial"/>
                <w:sz w:val="14"/>
                <w:szCs w:val="14"/>
              </w:rPr>
              <w:t>Group</w:t>
            </w:r>
          </w:p>
        </w:tc>
        <w:tc>
          <w:tcPr>
            <w:tcW w:w="2815" w:type="dxa"/>
            <w:vAlign w:val="center"/>
          </w:tcPr>
          <w:p w:rsidR="00A86F40" w:rsidRPr="00AD2E71" w:rsidRDefault="00A86F40" w:rsidP="00FA150A">
            <w:pPr>
              <w:rPr>
                <w:rFonts w:ascii="Arial" w:hAnsi="Arial" w:cs="Arial"/>
                <w:sz w:val="14"/>
                <w:szCs w:val="14"/>
              </w:rPr>
            </w:pPr>
            <w:r w:rsidRPr="00AD2E71">
              <w:rPr>
                <w:rFonts w:ascii="Arial" w:hAnsi="Arial" w:cs="Arial"/>
                <w:sz w:val="14"/>
                <w:szCs w:val="14"/>
              </w:rPr>
              <w:t>HR</w:t>
            </w:r>
            <w:r w:rsidRPr="00AD2E71">
              <w:rPr>
                <w:rFonts w:ascii="Arial" w:hAnsi="Arial" w:cs="Arial"/>
                <w:sz w:val="14"/>
                <w:szCs w:val="14"/>
              </w:rPr>
              <w:t xml:space="preserve"> (age-sex adjusted)</w:t>
            </w:r>
          </w:p>
        </w:tc>
        <w:tc>
          <w:tcPr>
            <w:tcW w:w="2815" w:type="dxa"/>
            <w:vAlign w:val="center"/>
          </w:tcPr>
          <w:p w:rsidR="00A86F40" w:rsidRPr="00AD2E71" w:rsidRDefault="00A86F40" w:rsidP="00FA150A">
            <w:pPr>
              <w:rPr>
                <w:rFonts w:ascii="Arial" w:hAnsi="Arial" w:cs="Arial"/>
                <w:sz w:val="14"/>
                <w:szCs w:val="14"/>
              </w:rPr>
            </w:pPr>
            <w:r w:rsidRPr="00AD2E71">
              <w:rPr>
                <w:rFonts w:ascii="Arial" w:hAnsi="Arial" w:cs="Arial"/>
                <w:sz w:val="14"/>
                <w:szCs w:val="14"/>
              </w:rPr>
              <w:t>SE</w:t>
            </w:r>
          </w:p>
        </w:tc>
      </w:tr>
      <w:tr w:rsidR="00A86F40" w:rsidRPr="00AD2E71" w:rsidTr="000C735F">
        <w:trPr>
          <w:trHeight w:val="237"/>
        </w:trPr>
        <w:tc>
          <w:tcPr>
            <w:tcW w:w="1084" w:type="dxa"/>
            <w:vAlign w:val="center"/>
          </w:tcPr>
          <w:p w:rsidR="00A86F40" w:rsidRPr="00AD2E71" w:rsidRDefault="00A86F40" w:rsidP="00FA150A">
            <w:pPr>
              <w:rPr>
                <w:rFonts w:ascii="Arial" w:hAnsi="Arial" w:cs="Arial"/>
                <w:sz w:val="14"/>
                <w:szCs w:val="14"/>
              </w:rPr>
            </w:pPr>
            <w:r w:rsidRPr="00AD2E71">
              <w:rPr>
                <w:rFonts w:ascii="Arial" w:hAnsi="Arial" w:cs="Arial"/>
                <w:sz w:val="14"/>
                <w:szCs w:val="14"/>
              </w:rPr>
              <w:t>Crude</w:t>
            </w:r>
          </w:p>
        </w:tc>
        <w:tc>
          <w:tcPr>
            <w:tcW w:w="2815" w:type="dxa"/>
          </w:tcPr>
          <w:p w:rsidR="00A86F40" w:rsidRPr="00AD2E71" w:rsidRDefault="00A86F40" w:rsidP="00A86F40">
            <w:pPr>
              <w:rPr>
                <w:rFonts w:ascii="Arial" w:hAnsi="Arial" w:cs="Arial"/>
                <w:sz w:val="14"/>
                <w:szCs w:val="14"/>
              </w:rPr>
            </w:pPr>
            <w:r w:rsidRPr="00AD2E71">
              <w:rPr>
                <w:rFonts w:ascii="Arial" w:hAnsi="Arial" w:cs="Arial"/>
                <w:sz w:val="14"/>
                <w:szCs w:val="14"/>
              </w:rPr>
              <w:t>2.1</w:t>
            </w:r>
            <w:r w:rsidR="006947D5" w:rsidRPr="00AD2E71">
              <w:rPr>
                <w:rFonts w:ascii="Arial" w:hAnsi="Arial" w:cs="Arial"/>
                <w:sz w:val="14"/>
                <w:szCs w:val="14"/>
              </w:rPr>
              <w:t>1</w:t>
            </w:r>
          </w:p>
        </w:tc>
        <w:tc>
          <w:tcPr>
            <w:tcW w:w="2815" w:type="dxa"/>
          </w:tcPr>
          <w:p w:rsidR="00A86F40" w:rsidRPr="00AD2E71" w:rsidRDefault="00A86F40" w:rsidP="00A86F40">
            <w:pPr>
              <w:rPr>
                <w:rFonts w:ascii="Arial" w:hAnsi="Arial" w:cs="Arial"/>
                <w:sz w:val="14"/>
                <w:szCs w:val="14"/>
              </w:rPr>
            </w:pPr>
            <w:r w:rsidRPr="00AD2E71">
              <w:rPr>
                <w:rFonts w:ascii="Arial" w:hAnsi="Arial" w:cs="Arial"/>
                <w:sz w:val="14"/>
                <w:szCs w:val="14"/>
              </w:rPr>
              <w:t>.147</w:t>
            </w:r>
          </w:p>
        </w:tc>
      </w:tr>
      <w:tr w:rsidR="00A86F40" w:rsidRPr="00AD2E71" w:rsidTr="00FA150A">
        <w:trPr>
          <w:trHeight w:val="237"/>
        </w:trPr>
        <w:tc>
          <w:tcPr>
            <w:tcW w:w="1084" w:type="dxa"/>
            <w:vAlign w:val="center"/>
          </w:tcPr>
          <w:p w:rsidR="00A86F40" w:rsidRPr="00AD2E71" w:rsidRDefault="006947D5" w:rsidP="006947D5">
            <w:pPr>
              <w:rPr>
                <w:rFonts w:ascii="Arial" w:hAnsi="Arial" w:cs="Arial"/>
                <w:sz w:val="14"/>
                <w:szCs w:val="14"/>
              </w:rPr>
            </w:pPr>
            <w:r w:rsidRPr="00AD2E71">
              <w:rPr>
                <w:rFonts w:ascii="Arial" w:hAnsi="Arial" w:cs="Arial"/>
                <w:sz w:val="14"/>
                <w:szCs w:val="14"/>
              </w:rPr>
              <w:t>Treatment=placebo</w:t>
            </w:r>
          </w:p>
        </w:tc>
        <w:tc>
          <w:tcPr>
            <w:tcW w:w="2815" w:type="dxa"/>
            <w:vAlign w:val="center"/>
          </w:tcPr>
          <w:p w:rsidR="00A86F40" w:rsidRPr="00AD2E71" w:rsidRDefault="00A86F40" w:rsidP="00FA150A">
            <w:pPr>
              <w:rPr>
                <w:rFonts w:ascii="Arial" w:hAnsi="Arial" w:cs="Arial"/>
                <w:sz w:val="14"/>
                <w:szCs w:val="14"/>
              </w:rPr>
            </w:pPr>
            <w:r w:rsidRPr="00AD2E71">
              <w:rPr>
                <w:rFonts w:ascii="Arial" w:hAnsi="Arial" w:cs="Arial"/>
                <w:sz w:val="14"/>
                <w:szCs w:val="14"/>
              </w:rPr>
              <w:t>2.15</w:t>
            </w:r>
          </w:p>
        </w:tc>
        <w:tc>
          <w:tcPr>
            <w:tcW w:w="2815" w:type="dxa"/>
            <w:vAlign w:val="center"/>
          </w:tcPr>
          <w:p w:rsidR="00A86F40" w:rsidRPr="00AD2E71" w:rsidRDefault="00A86F40" w:rsidP="00FA150A">
            <w:pPr>
              <w:rPr>
                <w:rFonts w:ascii="Arial" w:hAnsi="Arial" w:cs="Arial"/>
                <w:sz w:val="14"/>
                <w:szCs w:val="14"/>
              </w:rPr>
            </w:pPr>
            <w:r w:rsidRPr="00AD2E71">
              <w:rPr>
                <w:rFonts w:ascii="Arial" w:hAnsi="Arial" w:cs="Arial"/>
                <w:sz w:val="14"/>
                <w:szCs w:val="14"/>
              </w:rPr>
              <w:t>0.181</w:t>
            </w:r>
          </w:p>
        </w:tc>
      </w:tr>
      <w:tr w:rsidR="00A86F40" w:rsidRPr="00AD2E71" w:rsidTr="00FA150A">
        <w:trPr>
          <w:trHeight w:val="248"/>
        </w:trPr>
        <w:tc>
          <w:tcPr>
            <w:tcW w:w="1084" w:type="dxa"/>
            <w:vAlign w:val="center"/>
          </w:tcPr>
          <w:p w:rsidR="00A86F40" w:rsidRPr="00AD2E71" w:rsidRDefault="006947D5" w:rsidP="006947D5">
            <w:pPr>
              <w:rPr>
                <w:rFonts w:ascii="Arial" w:hAnsi="Arial" w:cs="Arial"/>
                <w:sz w:val="14"/>
                <w:szCs w:val="14"/>
              </w:rPr>
            </w:pPr>
            <w:r w:rsidRPr="00AD2E71">
              <w:rPr>
                <w:rFonts w:ascii="Arial" w:hAnsi="Arial" w:cs="Arial"/>
                <w:sz w:val="14"/>
                <w:szCs w:val="14"/>
              </w:rPr>
              <w:t xml:space="preserve">Treatment=drug </w:t>
            </w:r>
          </w:p>
        </w:tc>
        <w:tc>
          <w:tcPr>
            <w:tcW w:w="2815" w:type="dxa"/>
            <w:vAlign w:val="center"/>
          </w:tcPr>
          <w:p w:rsidR="00A86F40" w:rsidRPr="00AD2E71" w:rsidRDefault="006947D5" w:rsidP="00FA150A">
            <w:pPr>
              <w:rPr>
                <w:rFonts w:ascii="Arial" w:hAnsi="Arial" w:cs="Arial"/>
                <w:sz w:val="14"/>
                <w:szCs w:val="14"/>
              </w:rPr>
            </w:pPr>
            <w:r w:rsidRPr="00AD2E71">
              <w:rPr>
                <w:rFonts w:ascii="Arial" w:hAnsi="Arial" w:cs="Arial"/>
                <w:sz w:val="14"/>
                <w:szCs w:val="14"/>
              </w:rPr>
              <w:t>2.03</w:t>
            </w:r>
          </w:p>
        </w:tc>
        <w:tc>
          <w:tcPr>
            <w:tcW w:w="2815" w:type="dxa"/>
            <w:vAlign w:val="center"/>
          </w:tcPr>
          <w:p w:rsidR="00A86F40" w:rsidRPr="00AD2E71" w:rsidRDefault="006947D5" w:rsidP="00FA150A">
            <w:pPr>
              <w:rPr>
                <w:rFonts w:ascii="Arial" w:hAnsi="Arial" w:cs="Arial"/>
                <w:sz w:val="14"/>
                <w:szCs w:val="14"/>
              </w:rPr>
            </w:pPr>
            <w:r w:rsidRPr="00AD2E71">
              <w:rPr>
                <w:rFonts w:ascii="Arial" w:hAnsi="Arial" w:cs="Arial"/>
                <w:sz w:val="14"/>
                <w:szCs w:val="14"/>
              </w:rPr>
              <w:t>0.208</w:t>
            </w:r>
          </w:p>
        </w:tc>
      </w:tr>
      <w:tr w:rsidR="006947D5" w:rsidRPr="00AD2E71" w:rsidTr="00FA150A">
        <w:trPr>
          <w:trHeight w:val="248"/>
        </w:trPr>
        <w:tc>
          <w:tcPr>
            <w:tcW w:w="1084" w:type="dxa"/>
            <w:vAlign w:val="center"/>
          </w:tcPr>
          <w:p w:rsidR="006947D5" w:rsidRPr="00AD2E71" w:rsidRDefault="006947D5" w:rsidP="006947D5">
            <w:pPr>
              <w:rPr>
                <w:rFonts w:ascii="Arial" w:hAnsi="Arial" w:cs="Arial"/>
                <w:sz w:val="14"/>
                <w:szCs w:val="14"/>
              </w:rPr>
            </w:pPr>
            <w:r w:rsidRPr="00AD2E71">
              <w:rPr>
                <w:rFonts w:ascii="Arial" w:hAnsi="Arial" w:cs="Arial"/>
                <w:sz w:val="14"/>
                <w:szCs w:val="14"/>
              </w:rPr>
              <w:t xml:space="preserve">Adjusted for treatment </w:t>
            </w:r>
          </w:p>
        </w:tc>
        <w:tc>
          <w:tcPr>
            <w:tcW w:w="2815" w:type="dxa"/>
            <w:vAlign w:val="center"/>
          </w:tcPr>
          <w:p w:rsidR="006947D5" w:rsidRPr="00AD2E71" w:rsidRDefault="006947D5" w:rsidP="00FA150A">
            <w:pPr>
              <w:rPr>
                <w:rFonts w:ascii="Arial" w:hAnsi="Arial" w:cs="Arial"/>
                <w:sz w:val="14"/>
                <w:szCs w:val="14"/>
              </w:rPr>
            </w:pPr>
            <w:r w:rsidRPr="00AD2E71">
              <w:rPr>
                <w:rFonts w:ascii="Arial" w:hAnsi="Arial" w:cs="Arial"/>
                <w:sz w:val="14"/>
                <w:szCs w:val="14"/>
              </w:rPr>
              <w:t>2.10</w:t>
            </w:r>
          </w:p>
        </w:tc>
        <w:tc>
          <w:tcPr>
            <w:tcW w:w="2815" w:type="dxa"/>
            <w:vAlign w:val="center"/>
          </w:tcPr>
          <w:p w:rsidR="006947D5" w:rsidRPr="00AD2E71" w:rsidRDefault="006947D5" w:rsidP="00FA150A">
            <w:pPr>
              <w:rPr>
                <w:rFonts w:ascii="Arial" w:hAnsi="Arial" w:cs="Arial"/>
                <w:sz w:val="14"/>
                <w:szCs w:val="14"/>
              </w:rPr>
            </w:pPr>
            <w:r w:rsidRPr="00AD2E71">
              <w:rPr>
                <w:rFonts w:ascii="Arial" w:hAnsi="Arial" w:cs="Arial"/>
                <w:sz w:val="14"/>
                <w:szCs w:val="14"/>
              </w:rPr>
              <w:t>0.145</w:t>
            </w:r>
          </w:p>
        </w:tc>
      </w:tr>
    </w:tbl>
    <w:p w:rsidR="00A86F40" w:rsidRPr="00250587" w:rsidRDefault="00A86F40" w:rsidP="00AD2E71">
      <w:pPr>
        <w:spacing w:after="0" w:line="240" w:lineRule="auto"/>
      </w:pPr>
    </w:p>
    <w:sectPr w:rsidR="00A86F40" w:rsidRPr="002505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34" w:rsidRDefault="00747134" w:rsidP="00F24A55">
      <w:pPr>
        <w:spacing w:after="0" w:line="240" w:lineRule="auto"/>
      </w:pPr>
      <w:r>
        <w:separator/>
      </w:r>
    </w:p>
  </w:endnote>
  <w:endnote w:type="continuationSeparator" w:id="0">
    <w:p w:rsidR="00747134" w:rsidRDefault="00747134" w:rsidP="00F2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88062"/>
      <w:docPartObj>
        <w:docPartGallery w:val="Page Numbers (Bottom of Page)"/>
        <w:docPartUnique/>
      </w:docPartObj>
    </w:sdtPr>
    <w:sdtEndPr>
      <w:rPr>
        <w:noProof/>
      </w:rPr>
    </w:sdtEndPr>
    <w:sdtContent>
      <w:p w:rsidR="0098397B" w:rsidRDefault="0098397B">
        <w:pPr>
          <w:pStyle w:val="Footer"/>
          <w:jc w:val="right"/>
        </w:pPr>
        <w:r>
          <w:fldChar w:fldCharType="begin"/>
        </w:r>
        <w:r>
          <w:instrText xml:space="preserve"> PAGE   \* MERGEFORMAT </w:instrText>
        </w:r>
        <w:r>
          <w:fldChar w:fldCharType="separate"/>
        </w:r>
        <w:r w:rsidR="00436B88">
          <w:rPr>
            <w:noProof/>
          </w:rPr>
          <w:t>5</w:t>
        </w:r>
        <w:r>
          <w:rPr>
            <w:noProof/>
          </w:rPr>
          <w:fldChar w:fldCharType="end"/>
        </w:r>
      </w:p>
    </w:sdtContent>
  </w:sdt>
  <w:p w:rsidR="00F24A55" w:rsidRDefault="00F24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34" w:rsidRDefault="00747134" w:rsidP="00F24A55">
      <w:pPr>
        <w:spacing w:after="0" w:line="240" w:lineRule="auto"/>
      </w:pPr>
      <w:r>
        <w:separator/>
      </w:r>
    </w:p>
  </w:footnote>
  <w:footnote w:type="continuationSeparator" w:id="0">
    <w:p w:rsidR="00747134" w:rsidRDefault="00747134" w:rsidP="00F24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01"/>
    <w:rsid w:val="00031FED"/>
    <w:rsid w:val="00086F28"/>
    <w:rsid w:val="00092743"/>
    <w:rsid w:val="000C056B"/>
    <w:rsid w:val="001041A3"/>
    <w:rsid w:val="0013095A"/>
    <w:rsid w:val="001B2213"/>
    <w:rsid w:val="001E1DF4"/>
    <w:rsid w:val="002131D4"/>
    <w:rsid w:val="00250587"/>
    <w:rsid w:val="00286FF3"/>
    <w:rsid w:val="002B2DFD"/>
    <w:rsid w:val="002F146E"/>
    <w:rsid w:val="003061B2"/>
    <w:rsid w:val="00342691"/>
    <w:rsid w:val="00345550"/>
    <w:rsid w:val="0034684F"/>
    <w:rsid w:val="003769A8"/>
    <w:rsid w:val="00436B88"/>
    <w:rsid w:val="00470523"/>
    <w:rsid w:val="00490323"/>
    <w:rsid w:val="004D6309"/>
    <w:rsid w:val="00646CBE"/>
    <w:rsid w:val="0068787E"/>
    <w:rsid w:val="006947D5"/>
    <w:rsid w:val="006A18E9"/>
    <w:rsid w:val="006C3457"/>
    <w:rsid w:val="006E3345"/>
    <w:rsid w:val="00703501"/>
    <w:rsid w:val="00713958"/>
    <w:rsid w:val="00747134"/>
    <w:rsid w:val="0083103F"/>
    <w:rsid w:val="008413B3"/>
    <w:rsid w:val="00863328"/>
    <w:rsid w:val="00915B5A"/>
    <w:rsid w:val="00922E4A"/>
    <w:rsid w:val="00961DF9"/>
    <w:rsid w:val="0098397B"/>
    <w:rsid w:val="00A23EF8"/>
    <w:rsid w:val="00A6589E"/>
    <w:rsid w:val="00A7257C"/>
    <w:rsid w:val="00A86F40"/>
    <w:rsid w:val="00A97AA6"/>
    <w:rsid w:val="00AC30B9"/>
    <w:rsid w:val="00AC5112"/>
    <w:rsid w:val="00AD2E71"/>
    <w:rsid w:val="00B05825"/>
    <w:rsid w:val="00BC5832"/>
    <w:rsid w:val="00BE351D"/>
    <w:rsid w:val="00C03B8E"/>
    <w:rsid w:val="00C83576"/>
    <w:rsid w:val="00C91633"/>
    <w:rsid w:val="00D013C9"/>
    <w:rsid w:val="00D573AF"/>
    <w:rsid w:val="00E32590"/>
    <w:rsid w:val="00E47642"/>
    <w:rsid w:val="00EB0BE6"/>
    <w:rsid w:val="00F24A55"/>
    <w:rsid w:val="00F348F3"/>
    <w:rsid w:val="00F658D2"/>
    <w:rsid w:val="00FA0971"/>
    <w:rsid w:val="00FC72A9"/>
    <w:rsid w:val="00FD506A"/>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1D"/>
    <w:rPr>
      <w:rFonts w:ascii="Tahoma" w:hAnsi="Tahoma" w:cs="Tahoma"/>
      <w:sz w:val="16"/>
      <w:szCs w:val="16"/>
    </w:rPr>
  </w:style>
  <w:style w:type="paragraph" w:styleId="Header">
    <w:name w:val="header"/>
    <w:basedOn w:val="Normal"/>
    <w:link w:val="HeaderChar"/>
    <w:uiPriority w:val="99"/>
    <w:unhideWhenUsed/>
    <w:rsid w:val="00F2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55"/>
  </w:style>
  <w:style w:type="paragraph" w:styleId="Footer">
    <w:name w:val="footer"/>
    <w:basedOn w:val="Normal"/>
    <w:link w:val="FooterChar"/>
    <w:uiPriority w:val="99"/>
    <w:unhideWhenUsed/>
    <w:rsid w:val="00F2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1D"/>
    <w:rPr>
      <w:rFonts w:ascii="Tahoma" w:hAnsi="Tahoma" w:cs="Tahoma"/>
      <w:sz w:val="16"/>
      <w:szCs w:val="16"/>
    </w:rPr>
  </w:style>
  <w:style w:type="paragraph" w:styleId="Header">
    <w:name w:val="header"/>
    <w:basedOn w:val="Normal"/>
    <w:link w:val="HeaderChar"/>
    <w:uiPriority w:val="99"/>
    <w:unhideWhenUsed/>
    <w:rsid w:val="00F2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55"/>
  </w:style>
  <w:style w:type="paragraph" w:styleId="Footer">
    <w:name w:val="footer"/>
    <w:basedOn w:val="Normal"/>
    <w:link w:val="FooterChar"/>
    <w:uiPriority w:val="99"/>
    <w:unhideWhenUsed/>
    <w:rsid w:val="00F2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2015-02-10T20:45:00Z</dcterms:created>
  <dcterms:modified xsi:type="dcterms:W3CDTF">2015-02-10T21:36:00Z</dcterms:modified>
</cp:coreProperties>
</file>