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A29" w:rsidRDefault="002F0282" w:rsidP="002F0282">
      <w:pPr>
        <w:autoSpaceDE w:val="0"/>
        <w:autoSpaceDN w:val="0"/>
        <w:adjustRightInd w:val="0"/>
        <w:jc w:val="center"/>
        <w:rPr>
          <w:b/>
          <w:color w:val="000000"/>
          <w:sz w:val="22"/>
          <w:szCs w:val="22"/>
        </w:rPr>
      </w:pPr>
      <w:r>
        <w:rPr>
          <w:b/>
          <w:color w:val="000000"/>
          <w:sz w:val="22"/>
          <w:szCs w:val="22"/>
        </w:rPr>
        <w:t>Biost 518</w:t>
      </w:r>
      <w:r w:rsidR="00933C82">
        <w:rPr>
          <w:b/>
          <w:color w:val="000000"/>
          <w:sz w:val="22"/>
          <w:szCs w:val="22"/>
        </w:rPr>
        <w:t xml:space="preserve"> / 515</w:t>
      </w:r>
      <w:r w:rsidR="00C93A29" w:rsidRPr="0036127B">
        <w:rPr>
          <w:b/>
          <w:color w:val="000000"/>
          <w:sz w:val="22"/>
          <w:szCs w:val="22"/>
        </w:rPr>
        <w:t xml:space="preserve">: </w:t>
      </w:r>
      <w:r>
        <w:rPr>
          <w:b/>
          <w:color w:val="000000"/>
          <w:sz w:val="22"/>
          <w:szCs w:val="22"/>
        </w:rPr>
        <w:t>Applied Biostatistics II</w:t>
      </w:r>
    </w:p>
    <w:p w:rsidR="00C93A29" w:rsidRPr="0036127B" w:rsidRDefault="00C93A29" w:rsidP="00C93A29">
      <w:pPr>
        <w:autoSpaceDE w:val="0"/>
        <w:autoSpaceDN w:val="0"/>
        <w:adjustRightInd w:val="0"/>
        <w:jc w:val="center"/>
        <w:rPr>
          <w:b/>
          <w:color w:val="000000"/>
          <w:sz w:val="22"/>
          <w:szCs w:val="22"/>
        </w:rPr>
      </w:pPr>
      <w:commentRangeStart w:id="0"/>
    </w:p>
    <w:p w:rsidR="00C93A29" w:rsidRPr="0036127B" w:rsidRDefault="00F538AE" w:rsidP="00C93A29">
      <w:pPr>
        <w:autoSpaceDE w:val="0"/>
        <w:autoSpaceDN w:val="0"/>
        <w:adjustRightInd w:val="0"/>
        <w:jc w:val="center"/>
        <w:rPr>
          <w:b/>
          <w:color w:val="000000"/>
          <w:sz w:val="22"/>
          <w:szCs w:val="22"/>
        </w:rPr>
      </w:pPr>
      <w:r>
        <w:rPr>
          <w:b/>
          <w:color w:val="000000"/>
          <w:sz w:val="22"/>
          <w:szCs w:val="22"/>
        </w:rPr>
        <w:t>Homework #4</w:t>
      </w:r>
    </w:p>
    <w:commentRangeEnd w:id="0"/>
    <w:p w:rsidR="00C93A29" w:rsidRPr="0036127B" w:rsidRDefault="00DD0D4D" w:rsidP="00410B89">
      <w:pPr>
        <w:autoSpaceDE w:val="0"/>
        <w:autoSpaceDN w:val="0"/>
        <w:adjustRightInd w:val="0"/>
        <w:rPr>
          <w:b/>
          <w:color w:val="000000"/>
          <w:sz w:val="22"/>
          <w:szCs w:val="22"/>
        </w:rPr>
      </w:pPr>
      <w:r>
        <w:rPr>
          <w:rStyle w:val="CommentReference"/>
        </w:rPr>
        <w:commentReference w:id="0"/>
      </w:r>
    </w:p>
    <w:p w:rsidR="00261CFB" w:rsidRPr="009D5804" w:rsidRDefault="00C00601" w:rsidP="004D7832">
      <w:pPr>
        <w:autoSpaceDE w:val="0"/>
        <w:autoSpaceDN w:val="0"/>
        <w:adjustRightInd w:val="0"/>
        <w:rPr>
          <w:sz w:val="22"/>
          <w:szCs w:val="22"/>
        </w:rPr>
      </w:pPr>
      <w:r>
        <w:rPr>
          <w:color w:val="000000"/>
          <w:sz w:val="22"/>
          <w:szCs w:val="22"/>
        </w:rPr>
        <w:t xml:space="preserve">This homework </w:t>
      </w:r>
      <w:r w:rsidR="004D7832">
        <w:rPr>
          <w:color w:val="000000"/>
          <w:sz w:val="22"/>
          <w:szCs w:val="22"/>
        </w:rPr>
        <w:t>investigates associations between death from any cause and age, sex, and serum bilirubin in a population of patients with primary biliary cirrhosis who were enrolled in a randomized clinical trial (RCT) of D-penicillamine.</w:t>
      </w:r>
      <w:r>
        <w:rPr>
          <w:color w:val="000000"/>
          <w:sz w:val="22"/>
          <w:szCs w:val="22"/>
        </w:rPr>
        <w:t xml:space="preserve"> </w:t>
      </w:r>
    </w:p>
    <w:p w:rsidR="00261CFB" w:rsidRDefault="00261CFB" w:rsidP="00261CFB">
      <w:pPr>
        <w:autoSpaceDE w:val="0"/>
        <w:autoSpaceDN w:val="0"/>
        <w:adjustRightInd w:val="0"/>
        <w:rPr>
          <w:sz w:val="22"/>
          <w:szCs w:val="22"/>
        </w:rPr>
      </w:pPr>
      <w:commentRangeStart w:id="1"/>
    </w:p>
    <w:p w:rsidR="004D7832" w:rsidRDefault="004D7832" w:rsidP="00F538AE">
      <w:pPr>
        <w:numPr>
          <w:ilvl w:val="0"/>
          <w:numId w:val="19"/>
        </w:numPr>
        <w:autoSpaceDE w:val="0"/>
        <w:autoSpaceDN w:val="0"/>
        <w:adjustRightInd w:val="0"/>
        <w:spacing w:after="120"/>
        <w:rPr>
          <w:sz w:val="22"/>
          <w:szCs w:val="22"/>
        </w:rPr>
      </w:pPr>
      <w:r>
        <w:rPr>
          <w:sz w:val="22"/>
          <w:szCs w:val="22"/>
        </w:rPr>
        <w:t>Provide suitable descriptive statistics pertinent to the scientific questions addressed in this homework.</w:t>
      </w:r>
    </w:p>
    <w:commentRangeEnd w:id="1"/>
    <w:p w:rsidR="00391C54" w:rsidRDefault="004947D0" w:rsidP="00D22533">
      <w:pPr>
        <w:autoSpaceDE w:val="0"/>
        <w:autoSpaceDN w:val="0"/>
        <w:adjustRightInd w:val="0"/>
        <w:spacing w:after="120"/>
        <w:ind w:left="720"/>
        <w:rPr>
          <w:sz w:val="22"/>
          <w:szCs w:val="22"/>
        </w:rPr>
      </w:pPr>
      <w:r>
        <w:rPr>
          <w:rStyle w:val="CommentReference"/>
        </w:rPr>
        <w:commentReference w:id="1"/>
      </w:r>
      <w:r w:rsidR="00D22533" w:rsidRPr="00B71B28">
        <w:rPr>
          <w:b/>
          <w:sz w:val="22"/>
          <w:szCs w:val="22"/>
          <w:u w:val="single"/>
        </w:rPr>
        <w:t>Methods</w:t>
      </w:r>
      <w:r w:rsidR="00D22533">
        <w:rPr>
          <w:sz w:val="22"/>
          <w:szCs w:val="22"/>
        </w:rPr>
        <w:t>:</w:t>
      </w:r>
      <w:r w:rsidR="00AC1D1E">
        <w:rPr>
          <w:sz w:val="22"/>
          <w:szCs w:val="22"/>
        </w:rPr>
        <w:t xml:space="preserve"> </w:t>
      </w:r>
      <w:r w:rsidR="00391C54" w:rsidRPr="00121793">
        <w:rPr>
          <w:sz w:val="22"/>
          <w:szCs w:val="22"/>
        </w:rPr>
        <w:t>Descriptive statistics are displayed by</w:t>
      </w:r>
      <w:r w:rsidR="00391C54">
        <w:rPr>
          <w:sz w:val="22"/>
          <w:szCs w:val="22"/>
        </w:rPr>
        <w:t xml:space="preserve"> observation type (censored/death) </w:t>
      </w:r>
      <w:r w:rsidR="00391C54" w:rsidRPr="00121793">
        <w:rPr>
          <w:sz w:val="22"/>
          <w:szCs w:val="22"/>
        </w:rPr>
        <w:t xml:space="preserve">and for the </w:t>
      </w:r>
      <w:r w:rsidR="00391C54">
        <w:rPr>
          <w:sz w:val="22"/>
          <w:szCs w:val="22"/>
        </w:rPr>
        <w:t xml:space="preserve">entire </w:t>
      </w:r>
      <w:r w:rsidR="00391C54" w:rsidRPr="00121793">
        <w:rPr>
          <w:sz w:val="22"/>
          <w:szCs w:val="22"/>
        </w:rPr>
        <w:t xml:space="preserve">sample of </w:t>
      </w:r>
      <w:r w:rsidR="00391C54">
        <w:rPr>
          <w:sz w:val="22"/>
          <w:szCs w:val="22"/>
        </w:rPr>
        <w:t>418 subjects</w:t>
      </w:r>
      <w:r w:rsidR="00391C54" w:rsidRPr="00121793">
        <w:rPr>
          <w:sz w:val="22"/>
          <w:szCs w:val="22"/>
        </w:rPr>
        <w:t xml:space="preserve">. </w:t>
      </w:r>
      <w:commentRangeStart w:id="2"/>
      <w:r w:rsidR="00391C54">
        <w:rPr>
          <w:sz w:val="22"/>
          <w:szCs w:val="22"/>
        </w:rPr>
        <w:t xml:space="preserve">Within each group, we presented the mean, </w:t>
      </w:r>
      <w:r w:rsidR="00391C54" w:rsidRPr="00566457">
        <w:rPr>
          <w:sz w:val="22"/>
          <w:szCs w:val="22"/>
        </w:rPr>
        <w:t>standard deviation</w:t>
      </w:r>
      <w:r w:rsidR="00391C54">
        <w:rPr>
          <w:sz w:val="22"/>
          <w:szCs w:val="22"/>
        </w:rPr>
        <w:t xml:space="preserve">, minimum, and maximum for bilirubin </w:t>
      </w:r>
      <w:r w:rsidR="007079DA">
        <w:rPr>
          <w:sz w:val="22"/>
          <w:szCs w:val="22"/>
        </w:rPr>
        <w:t>and age, as there were no missing cases here</w:t>
      </w:r>
      <w:r w:rsidR="00391C54" w:rsidRPr="00566457">
        <w:rPr>
          <w:sz w:val="22"/>
          <w:szCs w:val="22"/>
        </w:rPr>
        <w:t xml:space="preserve">. For </w:t>
      </w:r>
      <w:r w:rsidR="007079DA">
        <w:rPr>
          <w:sz w:val="22"/>
          <w:szCs w:val="22"/>
        </w:rPr>
        <w:t>sex, percentage female</w:t>
      </w:r>
      <w:r w:rsidR="00391C54" w:rsidRPr="00566457">
        <w:rPr>
          <w:sz w:val="22"/>
          <w:szCs w:val="22"/>
        </w:rPr>
        <w:t xml:space="preserve"> and number of missing cases </w:t>
      </w:r>
      <w:r w:rsidR="007079DA">
        <w:rPr>
          <w:sz w:val="22"/>
          <w:szCs w:val="22"/>
        </w:rPr>
        <w:t>was</w:t>
      </w:r>
      <w:r w:rsidR="00391C54" w:rsidRPr="00566457">
        <w:rPr>
          <w:sz w:val="22"/>
          <w:szCs w:val="22"/>
        </w:rPr>
        <w:t xml:space="preserve"> displayed.</w:t>
      </w:r>
      <w:commentRangeEnd w:id="2"/>
      <w:r w:rsidR="00EC5328">
        <w:rPr>
          <w:rStyle w:val="CommentReference"/>
        </w:rPr>
        <w:commentReference w:id="2"/>
      </w:r>
    </w:p>
    <w:p w:rsidR="00D22533" w:rsidRDefault="00AC1D1E" w:rsidP="00D22533">
      <w:pPr>
        <w:autoSpaceDE w:val="0"/>
        <w:autoSpaceDN w:val="0"/>
        <w:adjustRightInd w:val="0"/>
        <w:spacing w:after="120"/>
        <w:ind w:left="720"/>
        <w:rPr>
          <w:sz w:val="22"/>
          <w:szCs w:val="22"/>
        </w:rPr>
      </w:pPr>
      <w:r>
        <w:rPr>
          <w:sz w:val="22"/>
          <w:szCs w:val="22"/>
        </w:rPr>
        <w:t xml:space="preserve">Descriptive statistics were </w:t>
      </w:r>
      <w:r w:rsidR="000B0CEF">
        <w:rPr>
          <w:sz w:val="22"/>
          <w:szCs w:val="22"/>
        </w:rPr>
        <w:t xml:space="preserve">also </w:t>
      </w:r>
      <w:r>
        <w:rPr>
          <w:sz w:val="22"/>
          <w:szCs w:val="22"/>
        </w:rPr>
        <w:t>presented for the censoring distribution for</w:t>
      </w:r>
      <w:r w:rsidR="002101EB">
        <w:rPr>
          <w:sz w:val="22"/>
          <w:szCs w:val="22"/>
        </w:rPr>
        <w:t xml:space="preserve"> all</w:t>
      </w:r>
      <w:r>
        <w:rPr>
          <w:sz w:val="22"/>
          <w:szCs w:val="22"/>
        </w:rPr>
        <w:t xml:space="preserve"> the subjects in this trial. </w:t>
      </w:r>
      <w:r w:rsidR="000B0CEF">
        <w:rPr>
          <w:sz w:val="22"/>
          <w:szCs w:val="22"/>
        </w:rPr>
        <w:t>Here</w:t>
      </w:r>
      <w:r>
        <w:rPr>
          <w:sz w:val="22"/>
          <w:szCs w:val="22"/>
        </w:rPr>
        <w:t>, the minimum and maximum censored times</w:t>
      </w:r>
      <w:r w:rsidR="00475C72">
        <w:rPr>
          <w:sz w:val="22"/>
          <w:szCs w:val="22"/>
        </w:rPr>
        <w:t>, the Kaplan-Meier estimates of the 25</w:t>
      </w:r>
      <w:r w:rsidR="00475C72" w:rsidRPr="00475C72">
        <w:rPr>
          <w:sz w:val="22"/>
          <w:szCs w:val="22"/>
          <w:vertAlign w:val="superscript"/>
        </w:rPr>
        <w:t>th</w:t>
      </w:r>
      <w:r w:rsidR="00475C72">
        <w:rPr>
          <w:sz w:val="22"/>
          <w:szCs w:val="22"/>
        </w:rPr>
        <w:t xml:space="preserve"> and 50</w:t>
      </w:r>
      <w:r w:rsidR="00475C72" w:rsidRPr="00475C72">
        <w:rPr>
          <w:sz w:val="22"/>
          <w:szCs w:val="22"/>
          <w:vertAlign w:val="superscript"/>
        </w:rPr>
        <w:t>th</w:t>
      </w:r>
      <w:r w:rsidR="00475C72">
        <w:rPr>
          <w:sz w:val="22"/>
          <w:szCs w:val="22"/>
        </w:rPr>
        <w:t xml:space="preserve"> percentile, and the Kaplan-Meier estimate of the mean time to follow up are displayed.</w:t>
      </w:r>
      <w:r w:rsidR="00B71B28">
        <w:rPr>
          <w:sz w:val="22"/>
          <w:szCs w:val="22"/>
        </w:rPr>
        <w:t xml:space="preserve"> </w:t>
      </w:r>
    </w:p>
    <w:p w:rsidR="00ED7C6B" w:rsidRDefault="00ED7C6B" w:rsidP="00D22533">
      <w:pPr>
        <w:autoSpaceDE w:val="0"/>
        <w:autoSpaceDN w:val="0"/>
        <w:adjustRightInd w:val="0"/>
        <w:spacing w:after="120"/>
        <w:ind w:left="720"/>
        <w:rPr>
          <w:sz w:val="22"/>
          <w:szCs w:val="22"/>
        </w:rPr>
      </w:pPr>
      <w:r>
        <w:rPr>
          <w:sz w:val="22"/>
          <w:szCs w:val="22"/>
        </w:rPr>
        <w:t xml:space="preserve">Because subjects in this study </w:t>
      </w:r>
      <w:commentRangeStart w:id="3"/>
      <w:r>
        <w:rPr>
          <w:sz w:val="22"/>
          <w:szCs w:val="22"/>
        </w:rPr>
        <w:t xml:space="preserve">have relatively high levels of bilirubin (since they have primary biliary cirrhosis (PBC)) </w:t>
      </w:r>
      <w:commentRangeEnd w:id="3"/>
      <w:r w:rsidR="00EC5328">
        <w:rPr>
          <w:rStyle w:val="CommentReference"/>
        </w:rPr>
        <w:commentReference w:id="3"/>
      </w:r>
      <w:r>
        <w:rPr>
          <w:sz w:val="22"/>
          <w:szCs w:val="22"/>
        </w:rPr>
        <w:t xml:space="preserve">and since it seems that bilirubin acts on a multiplicative scale, the following categories of bilirubin are displayed in the table: </w:t>
      </w:r>
      <w:commentRangeStart w:id="4"/>
      <w:r>
        <w:rPr>
          <w:sz w:val="22"/>
          <w:szCs w:val="22"/>
        </w:rPr>
        <w:t>&lt;1 mg/dl, 1-2 mg/dl, 2-4 mg/dl, and 4-28 mg/dl</w:t>
      </w:r>
      <w:commentRangeEnd w:id="4"/>
      <w:r w:rsidR="00EC5328">
        <w:rPr>
          <w:rStyle w:val="CommentReference"/>
        </w:rPr>
        <w:commentReference w:id="4"/>
      </w:r>
      <w:r>
        <w:rPr>
          <w:sz w:val="22"/>
          <w:szCs w:val="22"/>
        </w:rPr>
        <w:t>. These values were also chosen since there was a fairly even distribution of sample sizes among them.</w:t>
      </w:r>
    </w:p>
    <w:p w:rsidR="002101EB" w:rsidRPr="00ED7C6B" w:rsidRDefault="00ED1CB7" w:rsidP="00D22533">
      <w:pPr>
        <w:autoSpaceDE w:val="0"/>
        <w:autoSpaceDN w:val="0"/>
        <w:adjustRightInd w:val="0"/>
        <w:spacing w:after="120"/>
        <w:ind w:left="720"/>
        <w:rPr>
          <w:sz w:val="22"/>
          <w:szCs w:val="22"/>
        </w:rPr>
      </w:pPr>
      <w:r>
        <w:rPr>
          <w:sz w:val="22"/>
          <w:szCs w:val="22"/>
        </w:rPr>
        <w:t xml:space="preserve">The number of subjects and deaths is presented within each category and overall, as are the survival probabilities at 2, 6, and 12 years, and the restricted mean survival when all categories had some subjects at risk except for the 4-28 mg/dl category (11.45 years). A graph with Kaplan-Meier survival curves for each group </w:t>
      </w:r>
      <w:r w:rsidR="00B71B28">
        <w:rPr>
          <w:sz w:val="22"/>
          <w:szCs w:val="22"/>
        </w:rPr>
        <w:t>is also displayed.</w:t>
      </w:r>
    </w:p>
    <w:p w:rsidR="00D22533" w:rsidRDefault="00D22533" w:rsidP="00D22533">
      <w:pPr>
        <w:autoSpaceDE w:val="0"/>
        <w:autoSpaceDN w:val="0"/>
        <w:adjustRightInd w:val="0"/>
        <w:spacing w:after="120"/>
        <w:ind w:left="720"/>
        <w:rPr>
          <w:sz w:val="22"/>
          <w:szCs w:val="22"/>
        </w:rPr>
      </w:pPr>
    </w:p>
    <w:p w:rsidR="008E7565" w:rsidRDefault="00D22533" w:rsidP="00D22533">
      <w:pPr>
        <w:autoSpaceDE w:val="0"/>
        <w:autoSpaceDN w:val="0"/>
        <w:adjustRightInd w:val="0"/>
        <w:spacing w:after="120"/>
        <w:ind w:left="720"/>
        <w:rPr>
          <w:sz w:val="22"/>
          <w:szCs w:val="22"/>
        </w:rPr>
      </w:pPr>
      <w:commentRangeStart w:id="5"/>
      <w:r w:rsidRPr="00803C89">
        <w:rPr>
          <w:b/>
          <w:sz w:val="22"/>
          <w:szCs w:val="22"/>
          <w:u w:val="single"/>
        </w:rPr>
        <w:t>Inference</w:t>
      </w:r>
      <w:r>
        <w:rPr>
          <w:sz w:val="22"/>
          <w:szCs w:val="22"/>
        </w:rPr>
        <w:t xml:space="preserve">: </w:t>
      </w:r>
      <w:commentRangeEnd w:id="5"/>
      <w:r w:rsidR="00C71422">
        <w:rPr>
          <w:rStyle w:val="CommentReference"/>
        </w:rPr>
        <w:commentReference w:id="5"/>
      </w:r>
      <w:r>
        <w:rPr>
          <w:sz w:val="22"/>
          <w:szCs w:val="22"/>
        </w:rPr>
        <w:t>There were 418 subjects in this randomized clinical trial</w:t>
      </w:r>
      <w:r w:rsidR="008E7565">
        <w:rPr>
          <w:sz w:val="22"/>
          <w:szCs w:val="22"/>
        </w:rPr>
        <w:t>, but 106 of them were missing data on sex (including 70 who were censored).</w:t>
      </w:r>
      <w:r w:rsidR="008E7565" w:rsidRPr="008E7565">
        <w:rPr>
          <w:sz w:val="22"/>
          <w:szCs w:val="22"/>
        </w:rPr>
        <w:t xml:space="preserve"> </w:t>
      </w:r>
      <w:commentRangeStart w:id="6"/>
      <w:r w:rsidR="008E7565">
        <w:rPr>
          <w:sz w:val="22"/>
          <w:szCs w:val="22"/>
        </w:rPr>
        <w:t>Those individuals were excluded from the analysis looking at the association between mortality and bilirubin when adjusting for sex, though we cannot be sure as to how those dropped subjects affect the generalizability of our results.</w:t>
      </w:r>
      <w:commentRangeEnd w:id="6"/>
      <w:r w:rsidR="00EC5328">
        <w:rPr>
          <w:rStyle w:val="CommentReference"/>
        </w:rPr>
        <w:commentReference w:id="6"/>
      </w:r>
    </w:p>
    <w:p w:rsidR="008E7565" w:rsidRDefault="008E7565" w:rsidP="00D22533">
      <w:pPr>
        <w:autoSpaceDE w:val="0"/>
        <w:autoSpaceDN w:val="0"/>
        <w:adjustRightInd w:val="0"/>
        <w:spacing w:after="120"/>
        <w:ind w:left="720"/>
        <w:rPr>
          <w:sz w:val="22"/>
          <w:szCs w:val="22"/>
        </w:rPr>
      </w:pPr>
      <w:commentRangeStart w:id="7"/>
      <w:r>
        <w:rPr>
          <w:sz w:val="22"/>
          <w:szCs w:val="22"/>
        </w:rPr>
        <w:t xml:space="preserve">Of the 418 </w:t>
      </w:r>
      <w:commentRangeEnd w:id="7"/>
      <w:r w:rsidR="00EC5328">
        <w:rPr>
          <w:rStyle w:val="CommentReference"/>
        </w:rPr>
        <w:commentReference w:id="7"/>
      </w:r>
      <w:r>
        <w:rPr>
          <w:sz w:val="22"/>
          <w:szCs w:val="22"/>
        </w:rPr>
        <w:t xml:space="preserve">subjects, the mean bilirubin level was 3.22 mg/dl, though the subjects who died had much higher levels of bilirubin (5.54 mg/dl) than those who were censored (1.77 mg/dl). The mean age overall was 50.7 years old, though those who died were older than the censored subjects (53.9 vs 48.7 years old). </w:t>
      </w:r>
      <w:commentRangeStart w:id="8"/>
      <w:r w:rsidR="006F78CE">
        <w:rPr>
          <w:sz w:val="22"/>
          <w:szCs w:val="22"/>
        </w:rPr>
        <w:t>Among</w:t>
      </w:r>
      <w:r w:rsidR="00DD34CF">
        <w:rPr>
          <w:sz w:val="22"/>
          <w:szCs w:val="22"/>
        </w:rPr>
        <w:t xml:space="preserve"> the 312 subjects with available information, c</w:t>
      </w:r>
      <w:r>
        <w:rPr>
          <w:sz w:val="22"/>
          <w:szCs w:val="22"/>
        </w:rPr>
        <w:t>ensored individuals were also more likely to be female (92.5%) than those who died (82.4%).</w:t>
      </w:r>
      <w:r w:rsidR="001E02FE">
        <w:rPr>
          <w:sz w:val="22"/>
          <w:szCs w:val="22"/>
        </w:rPr>
        <w:t xml:space="preserve"> </w:t>
      </w:r>
      <w:commentRangeEnd w:id="8"/>
      <w:r w:rsidR="00EC5328">
        <w:rPr>
          <w:rStyle w:val="CommentReference"/>
        </w:rPr>
        <w:commentReference w:id="8"/>
      </w:r>
    </w:p>
    <w:p w:rsidR="00803C89" w:rsidRDefault="002B71F0" w:rsidP="00D22533">
      <w:pPr>
        <w:autoSpaceDE w:val="0"/>
        <w:autoSpaceDN w:val="0"/>
        <w:adjustRightInd w:val="0"/>
        <w:spacing w:after="120"/>
        <w:ind w:left="720"/>
        <w:rPr>
          <w:sz w:val="22"/>
          <w:szCs w:val="22"/>
        </w:rPr>
      </w:pPr>
      <w:r>
        <w:rPr>
          <w:sz w:val="22"/>
          <w:szCs w:val="22"/>
        </w:rPr>
        <w:t>Table 2</w:t>
      </w:r>
      <w:r w:rsidR="00803C89">
        <w:rPr>
          <w:sz w:val="22"/>
          <w:szCs w:val="22"/>
        </w:rPr>
        <w:t xml:space="preserve"> displays Kaplan-Meier based estimates of the survival distribution within 4 categories of bilirubin and among the entire group of subjects. </w:t>
      </w:r>
      <w:r>
        <w:rPr>
          <w:sz w:val="22"/>
          <w:szCs w:val="22"/>
        </w:rPr>
        <w:t xml:space="preserve">The 418 subjects were followed for an average of 6.88 years (median=6.48 years; min=1.46 years; max=13.13 years). During this time, 161 deaths were observed. </w:t>
      </w:r>
      <w:r w:rsidR="00662B56">
        <w:rPr>
          <w:sz w:val="22"/>
          <w:szCs w:val="22"/>
        </w:rPr>
        <w:t xml:space="preserve">The progressively large difference in survival probabilities can be seen at 6 and 12 years between the &lt;1 mg/dl category and &gt;4 mg/dl group. </w:t>
      </w:r>
      <w:r w:rsidR="00D83543">
        <w:rPr>
          <w:sz w:val="22"/>
          <w:szCs w:val="22"/>
        </w:rPr>
        <w:t>In fact, everyone with bilirubin greater than 4 mg/dl died by 12 years of enrollment. Additionally, during the first 11.45 years, subjects with &lt;1 mg/dl of bilirubin lived 10.16 years on average while those with &gt;4 mg/dl of bilirubin lived 3.90 years on average.</w:t>
      </w:r>
    </w:p>
    <w:p w:rsidR="00D83543" w:rsidRDefault="00D83543" w:rsidP="00E763BD">
      <w:pPr>
        <w:autoSpaceDE w:val="0"/>
        <w:autoSpaceDN w:val="0"/>
        <w:adjustRightInd w:val="0"/>
        <w:spacing w:after="120"/>
        <w:ind w:left="720"/>
        <w:rPr>
          <w:sz w:val="22"/>
          <w:szCs w:val="22"/>
        </w:rPr>
      </w:pPr>
      <w:r>
        <w:rPr>
          <w:sz w:val="22"/>
          <w:szCs w:val="22"/>
        </w:rPr>
        <w:t xml:space="preserve">Next, a graph with Kaplan-Meier curves is displayed for the 4 categories of bilirubin. </w:t>
      </w:r>
      <w:r w:rsidR="00E763BD">
        <w:rPr>
          <w:sz w:val="22"/>
          <w:szCs w:val="22"/>
        </w:rPr>
        <w:t>Again, there is a trend for those with lower bilirubin to survive for a longer period of time. At the end of the 13.13 years of observation, more than 70% of subjects with &lt;1 mg/dl of bilirubin survived, about 45% of those with 1-2 mg/dl of bilirubin survived, about 5% of those with 2-4 mg/dl of bilirubin survived, and there were no survivors for those individuals with bilirubin levels greater than 4 mg/dl.</w:t>
      </w:r>
    </w:p>
    <w:p w:rsidR="008057F6" w:rsidRDefault="008057F6" w:rsidP="008057F6">
      <w:pPr>
        <w:autoSpaceDE w:val="0"/>
        <w:autoSpaceDN w:val="0"/>
        <w:adjustRightInd w:val="0"/>
        <w:ind w:left="720"/>
        <w:rPr>
          <w:sz w:val="22"/>
          <w:szCs w:val="22"/>
        </w:rPr>
      </w:pPr>
      <w:r>
        <w:rPr>
          <w:sz w:val="22"/>
          <w:szCs w:val="22"/>
        </w:rPr>
        <w:lastRenderedPageBreak/>
        <w:tab/>
      </w:r>
      <w:commentRangeStart w:id="9"/>
      <w:r w:rsidRPr="008057F6">
        <w:rPr>
          <w:sz w:val="18"/>
          <w:szCs w:val="22"/>
        </w:rPr>
        <w:t xml:space="preserve">Table 1: </w:t>
      </w:r>
      <w:r>
        <w:rPr>
          <w:sz w:val="18"/>
          <w:szCs w:val="22"/>
        </w:rPr>
        <w:t>Bilirubin, age</w:t>
      </w:r>
      <w:commentRangeEnd w:id="9"/>
      <w:r w:rsidR="00EC5328">
        <w:rPr>
          <w:rStyle w:val="CommentReference"/>
        </w:rPr>
        <w:commentReference w:id="9"/>
      </w:r>
      <w:r>
        <w:rPr>
          <w:sz w:val="18"/>
          <w:szCs w:val="22"/>
        </w:rPr>
        <w:t>, and sex, by type of observation and across all subjects</w:t>
      </w:r>
    </w:p>
    <w:tbl>
      <w:tblPr>
        <w:tblW w:w="6930" w:type="dxa"/>
        <w:jc w:val="center"/>
        <w:tblInd w:w="108" w:type="dxa"/>
        <w:tblLook w:val="04A0"/>
      </w:tblPr>
      <w:tblGrid>
        <w:gridCol w:w="1840"/>
        <w:gridCol w:w="1770"/>
        <w:gridCol w:w="1770"/>
        <w:gridCol w:w="1550"/>
      </w:tblGrid>
      <w:tr w:rsidR="008057F6" w:rsidRPr="008057F6" w:rsidTr="008057F6">
        <w:trPr>
          <w:trHeight w:val="288"/>
          <w:jc w:val="center"/>
        </w:trPr>
        <w:tc>
          <w:tcPr>
            <w:tcW w:w="1840" w:type="dxa"/>
            <w:tcBorders>
              <w:top w:val="single" w:sz="4" w:space="0" w:color="auto"/>
              <w:left w:val="single" w:sz="4" w:space="0" w:color="auto"/>
              <w:bottom w:val="nil"/>
              <w:right w:val="nil"/>
            </w:tcBorders>
            <w:shd w:val="clear" w:color="auto" w:fill="auto"/>
            <w:noWrap/>
            <w:vAlign w:val="bottom"/>
            <w:hideMark/>
          </w:tcPr>
          <w:p w:rsidR="008057F6" w:rsidRPr="008057F6" w:rsidRDefault="008057F6" w:rsidP="008057F6">
            <w:pPr>
              <w:rPr>
                <w:color w:val="000000"/>
                <w:sz w:val="18"/>
                <w:szCs w:val="22"/>
              </w:rPr>
            </w:pPr>
            <w:r w:rsidRPr="008057F6">
              <w:rPr>
                <w:color w:val="000000"/>
                <w:sz w:val="18"/>
                <w:szCs w:val="22"/>
              </w:rPr>
              <w:t> </w:t>
            </w:r>
          </w:p>
        </w:tc>
        <w:tc>
          <w:tcPr>
            <w:tcW w:w="35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057F6" w:rsidRPr="008057F6" w:rsidRDefault="008057F6" w:rsidP="008057F6">
            <w:pPr>
              <w:jc w:val="center"/>
              <w:rPr>
                <w:b/>
                <w:bCs/>
                <w:color w:val="000000"/>
                <w:sz w:val="18"/>
                <w:szCs w:val="22"/>
              </w:rPr>
            </w:pPr>
            <w:r w:rsidRPr="008057F6">
              <w:rPr>
                <w:b/>
                <w:bCs/>
                <w:color w:val="000000"/>
                <w:sz w:val="18"/>
                <w:szCs w:val="22"/>
              </w:rPr>
              <w:t>Observation</w:t>
            </w:r>
          </w:p>
        </w:tc>
        <w:tc>
          <w:tcPr>
            <w:tcW w:w="1550" w:type="dxa"/>
            <w:vMerge w:val="restart"/>
            <w:tcBorders>
              <w:top w:val="single" w:sz="4" w:space="0" w:color="auto"/>
              <w:left w:val="nil"/>
              <w:bottom w:val="single" w:sz="4" w:space="0" w:color="000000"/>
              <w:right w:val="single" w:sz="4" w:space="0" w:color="auto"/>
            </w:tcBorders>
            <w:shd w:val="clear" w:color="auto" w:fill="auto"/>
            <w:vAlign w:val="center"/>
            <w:hideMark/>
          </w:tcPr>
          <w:p w:rsidR="008057F6" w:rsidRPr="008057F6" w:rsidRDefault="008057F6" w:rsidP="008057F6">
            <w:pPr>
              <w:jc w:val="center"/>
              <w:rPr>
                <w:b/>
                <w:bCs/>
                <w:color w:val="000000"/>
                <w:sz w:val="18"/>
                <w:szCs w:val="22"/>
              </w:rPr>
            </w:pPr>
            <w:r w:rsidRPr="008057F6">
              <w:rPr>
                <w:b/>
                <w:bCs/>
                <w:color w:val="000000"/>
                <w:sz w:val="18"/>
                <w:szCs w:val="22"/>
              </w:rPr>
              <w:t>All subjects (n=418)</w:t>
            </w:r>
          </w:p>
        </w:tc>
      </w:tr>
      <w:tr w:rsidR="008057F6" w:rsidRPr="008057F6" w:rsidTr="008057F6">
        <w:trPr>
          <w:trHeight w:val="288"/>
          <w:jc w:val="center"/>
        </w:trPr>
        <w:tc>
          <w:tcPr>
            <w:tcW w:w="1840" w:type="dxa"/>
            <w:tcBorders>
              <w:top w:val="nil"/>
              <w:left w:val="single" w:sz="4" w:space="0" w:color="auto"/>
              <w:bottom w:val="single" w:sz="4" w:space="0" w:color="auto"/>
              <w:right w:val="nil"/>
            </w:tcBorders>
            <w:shd w:val="clear" w:color="auto" w:fill="auto"/>
            <w:noWrap/>
            <w:vAlign w:val="bottom"/>
            <w:hideMark/>
          </w:tcPr>
          <w:p w:rsidR="008057F6" w:rsidRPr="008057F6" w:rsidRDefault="008057F6" w:rsidP="008057F6">
            <w:pPr>
              <w:rPr>
                <w:color w:val="000000"/>
                <w:sz w:val="18"/>
                <w:szCs w:val="22"/>
              </w:rPr>
            </w:pPr>
            <w:r w:rsidRPr="008057F6">
              <w:rPr>
                <w:color w:val="000000"/>
                <w:sz w:val="18"/>
                <w:szCs w:val="22"/>
              </w:rPr>
              <w:t> </w:t>
            </w:r>
          </w:p>
        </w:tc>
        <w:tc>
          <w:tcPr>
            <w:tcW w:w="1770" w:type="dxa"/>
            <w:tcBorders>
              <w:top w:val="nil"/>
              <w:left w:val="single" w:sz="4" w:space="0" w:color="auto"/>
              <w:bottom w:val="single" w:sz="4" w:space="0" w:color="auto"/>
              <w:right w:val="nil"/>
            </w:tcBorders>
            <w:shd w:val="clear" w:color="auto" w:fill="auto"/>
            <w:vAlign w:val="center"/>
            <w:hideMark/>
          </w:tcPr>
          <w:p w:rsidR="008057F6" w:rsidRPr="008057F6" w:rsidRDefault="008057F6" w:rsidP="008057F6">
            <w:pPr>
              <w:jc w:val="center"/>
              <w:rPr>
                <w:b/>
                <w:bCs/>
                <w:color w:val="000000"/>
                <w:sz w:val="18"/>
                <w:szCs w:val="22"/>
              </w:rPr>
            </w:pPr>
            <w:r w:rsidRPr="008057F6">
              <w:rPr>
                <w:b/>
                <w:bCs/>
                <w:color w:val="000000"/>
                <w:sz w:val="18"/>
                <w:szCs w:val="22"/>
              </w:rPr>
              <w:t>Censored (n=257)</w:t>
            </w:r>
          </w:p>
        </w:tc>
        <w:tc>
          <w:tcPr>
            <w:tcW w:w="1770" w:type="dxa"/>
            <w:tcBorders>
              <w:top w:val="nil"/>
              <w:left w:val="nil"/>
              <w:bottom w:val="single" w:sz="4" w:space="0" w:color="auto"/>
              <w:right w:val="single" w:sz="4" w:space="0" w:color="auto"/>
            </w:tcBorders>
            <w:shd w:val="clear" w:color="auto" w:fill="auto"/>
            <w:vAlign w:val="center"/>
            <w:hideMark/>
          </w:tcPr>
          <w:p w:rsidR="008057F6" w:rsidRPr="008057F6" w:rsidRDefault="008057F6" w:rsidP="008057F6">
            <w:pPr>
              <w:jc w:val="center"/>
              <w:rPr>
                <w:b/>
                <w:bCs/>
                <w:color w:val="000000"/>
                <w:sz w:val="18"/>
                <w:szCs w:val="22"/>
              </w:rPr>
            </w:pPr>
            <w:r w:rsidRPr="008057F6">
              <w:rPr>
                <w:b/>
                <w:bCs/>
                <w:color w:val="000000"/>
                <w:sz w:val="18"/>
                <w:szCs w:val="22"/>
              </w:rPr>
              <w:t>Death (n=161)</w:t>
            </w:r>
          </w:p>
        </w:tc>
        <w:tc>
          <w:tcPr>
            <w:tcW w:w="1550" w:type="dxa"/>
            <w:vMerge/>
            <w:tcBorders>
              <w:top w:val="single" w:sz="4" w:space="0" w:color="auto"/>
              <w:left w:val="nil"/>
              <w:bottom w:val="single" w:sz="4" w:space="0" w:color="000000"/>
              <w:right w:val="single" w:sz="4" w:space="0" w:color="auto"/>
            </w:tcBorders>
            <w:vAlign w:val="center"/>
            <w:hideMark/>
          </w:tcPr>
          <w:p w:rsidR="008057F6" w:rsidRPr="008057F6" w:rsidRDefault="008057F6" w:rsidP="008057F6">
            <w:pPr>
              <w:rPr>
                <w:b/>
                <w:bCs/>
                <w:color w:val="000000"/>
                <w:sz w:val="18"/>
                <w:szCs w:val="22"/>
              </w:rPr>
            </w:pPr>
          </w:p>
        </w:tc>
      </w:tr>
      <w:tr w:rsidR="008057F6" w:rsidRPr="008057F6" w:rsidTr="00B05C27">
        <w:trPr>
          <w:trHeight w:val="461"/>
          <w:jc w:val="center"/>
        </w:trPr>
        <w:tc>
          <w:tcPr>
            <w:tcW w:w="1840" w:type="dxa"/>
            <w:tcBorders>
              <w:top w:val="nil"/>
              <w:left w:val="single" w:sz="4" w:space="0" w:color="auto"/>
              <w:bottom w:val="single" w:sz="4" w:space="0" w:color="BFBFBF"/>
              <w:right w:val="nil"/>
            </w:tcBorders>
            <w:shd w:val="clear" w:color="auto" w:fill="auto"/>
            <w:noWrap/>
            <w:vAlign w:val="center"/>
            <w:hideMark/>
          </w:tcPr>
          <w:p w:rsidR="008057F6" w:rsidRPr="008057F6" w:rsidRDefault="008057F6" w:rsidP="008057F6">
            <w:pPr>
              <w:jc w:val="center"/>
              <w:rPr>
                <w:color w:val="000000"/>
                <w:sz w:val="18"/>
                <w:szCs w:val="22"/>
              </w:rPr>
            </w:pPr>
            <w:r w:rsidRPr="008057F6">
              <w:rPr>
                <w:color w:val="000000"/>
                <w:sz w:val="18"/>
                <w:szCs w:val="22"/>
              </w:rPr>
              <w:t>Bilirubin (md/dl)</w:t>
            </w:r>
          </w:p>
        </w:tc>
        <w:tc>
          <w:tcPr>
            <w:tcW w:w="1770" w:type="dxa"/>
            <w:tcBorders>
              <w:top w:val="nil"/>
              <w:left w:val="single" w:sz="4" w:space="0" w:color="auto"/>
              <w:bottom w:val="single" w:sz="4" w:space="0" w:color="BFBFBF"/>
              <w:right w:val="nil"/>
            </w:tcBorders>
            <w:shd w:val="clear" w:color="auto" w:fill="auto"/>
            <w:vAlign w:val="center"/>
            <w:hideMark/>
          </w:tcPr>
          <w:p w:rsidR="008057F6" w:rsidRPr="008057F6" w:rsidRDefault="008057F6" w:rsidP="008057F6">
            <w:pPr>
              <w:jc w:val="center"/>
              <w:rPr>
                <w:color w:val="000000"/>
                <w:sz w:val="18"/>
                <w:szCs w:val="22"/>
              </w:rPr>
            </w:pPr>
            <w:r w:rsidRPr="008057F6">
              <w:rPr>
                <w:color w:val="000000"/>
                <w:sz w:val="18"/>
                <w:szCs w:val="22"/>
              </w:rPr>
              <w:t>1.77                               (2.20; 0.3-18)</w:t>
            </w:r>
          </w:p>
        </w:tc>
        <w:tc>
          <w:tcPr>
            <w:tcW w:w="1770" w:type="dxa"/>
            <w:tcBorders>
              <w:top w:val="nil"/>
              <w:left w:val="nil"/>
              <w:bottom w:val="single" w:sz="4" w:space="0" w:color="BFBFBF"/>
              <w:right w:val="single" w:sz="4" w:space="0" w:color="auto"/>
            </w:tcBorders>
            <w:shd w:val="clear" w:color="auto" w:fill="auto"/>
            <w:vAlign w:val="center"/>
            <w:hideMark/>
          </w:tcPr>
          <w:p w:rsidR="008057F6" w:rsidRPr="008057F6" w:rsidRDefault="008057F6" w:rsidP="008057F6">
            <w:pPr>
              <w:jc w:val="center"/>
              <w:rPr>
                <w:color w:val="000000"/>
                <w:sz w:val="18"/>
                <w:szCs w:val="22"/>
              </w:rPr>
            </w:pPr>
            <w:r w:rsidRPr="008057F6">
              <w:rPr>
                <w:color w:val="000000"/>
                <w:sz w:val="18"/>
                <w:szCs w:val="22"/>
              </w:rPr>
              <w:t>5.54                                    (5.84; 0.3-28)</w:t>
            </w:r>
          </w:p>
        </w:tc>
        <w:tc>
          <w:tcPr>
            <w:tcW w:w="1550" w:type="dxa"/>
            <w:tcBorders>
              <w:top w:val="nil"/>
              <w:left w:val="nil"/>
              <w:bottom w:val="single" w:sz="4" w:space="0" w:color="BFBFBF"/>
              <w:right w:val="single" w:sz="4" w:space="0" w:color="auto"/>
            </w:tcBorders>
            <w:shd w:val="clear" w:color="auto" w:fill="auto"/>
            <w:vAlign w:val="center"/>
            <w:hideMark/>
          </w:tcPr>
          <w:p w:rsidR="008057F6" w:rsidRPr="008057F6" w:rsidRDefault="008057F6" w:rsidP="008057F6">
            <w:pPr>
              <w:jc w:val="center"/>
              <w:rPr>
                <w:color w:val="000000"/>
                <w:sz w:val="18"/>
                <w:szCs w:val="22"/>
              </w:rPr>
            </w:pPr>
            <w:r w:rsidRPr="008057F6">
              <w:rPr>
                <w:color w:val="000000"/>
                <w:sz w:val="18"/>
                <w:szCs w:val="22"/>
              </w:rPr>
              <w:t>3.22                                      (4.41; 0.3-28)</w:t>
            </w:r>
          </w:p>
        </w:tc>
      </w:tr>
      <w:tr w:rsidR="008057F6" w:rsidRPr="008057F6" w:rsidTr="00B05C27">
        <w:trPr>
          <w:trHeight w:val="461"/>
          <w:jc w:val="center"/>
        </w:trPr>
        <w:tc>
          <w:tcPr>
            <w:tcW w:w="1840" w:type="dxa"/>
            <w:tcBorders>
              <w:top w:val="single" w:sz="4" w:space="0" w:color="BFBFBF"/>
              <w:left w:val="single" w:sz="4" w:space="0" w:color="auto"/>
              <w:bottom w:val="single" w:sz="4" w:space="0" w:color="BFBFBF"/>
              <w:right w:val="nil"/>
            </w:tcBorders>
            <w:shd w:val="clear" w:color="auto" w:fill="auto"/>
            <w:noWrap/>
            <w:vAlign w:val="center"/>
            <w:hideMark/>
          </w:tcPr>
          <w:p w:rsidR="008057F6" w:rsidRPr="008057F6" w:rsidRDefault="008057F6" w:rsidP="008057F6">
            <w:pPr>
              <w:jc w:val="center"/>
              <w:rPr>
                <w:color w:val="000000"/>
                <w:sz w:val="18"/>
                <w:szCs w:val="22"/>
              </w:rPr>
            </w:pPr>
            <w:r w:rsidRPr="008057F6">
              <w:rPr>
                <w:color w:val="000000"/>
                <w:sz w:val="18"/>
                <w:szCs w:val="22"/>
              </w:rPr>
              <w:t>Age (years)</w:t>
            </w:r>
          </w:p>
        </w:tc>
        <w:tc>
          <w:tcPr>
            <w:tcW w:w="1770" w:type="dxa"/>
            <w:tcBorders>
              <w:top w:val="single" w:sz="4" w:space="0" w:color="BFBFBF"/>
              <w:left w:val="single" w:sz="4" w:space="0" w:color="auto"/>
              <w:bottom w:val="single" w:sz="4" w:space="0" w:color="BFBFBF"/>
              <w:right w:val="nil"/>
            </w:tcBorders>
            <w:shd w:val="clear" w:color="auto" w:fill="auto"/>
            <w:vAlign w:val="center"/>
            <w:hideMark/>
          </w:tcPr>
          <w:p w:rsidR="008057F6" w:rsidRPr="008057F6" w:rsidRDefault="008057F6" w:rsidP="008057F6">
            <w:pPr>
              <w:jc w:val="center"/>
              <w:rPr>
                <w:color w:val="000000"/>
                <w:sz w:val="18"/>
                <w:szCs w:val="22"/>
              </w:rPr>
            </w:pPr>
            <w:r w:rsidRPr="008057F6">
              <w:rPr>
                <w:color w:val="000000"/>
                <w:sz w:val="18"/>
                <w:szCs w:val="22"/>
              </w:rPr>
              <w:t>48.7                                  (10.4; 26.3-78.4)</w:t>
            </w:r>
          </w:p>
        </w:tc>
        <w:tc>
          <w:tcPr>
            <w:tcW w:w="1770" w:type="dxa"/>
            <w:tcBorders>
              <w:top w:val="single" w:sz="4" w:space="0" w:color="BFBFBF"/>
              <w:left w:val="nil"/>
              <w:bottom w:val="single" w:sz="4" w:space="0" w:color="BFBFBF"/>
              <w:right w:val="single" w:sz="4" w:space="0" w:color="auto"/>
            </w:tcBorders>
            <w:shd w:val="clear" w:color="auto" w:fill="auto"/>
            <w:vAlign w:val="center"/>
            <w:hideMark/>
          </w:tcPr>
          <w:p w:rsidR="008057F6" w:rsidRPr="008057F6" w:rsidRDefault="008057F6" w:rsidP="008057F6">
            <w:pPr>
              <w:jc w:val="center"/>
              <w:rPr>
                <w:color w:val="000000"/>
                <w:sz w:val="18"/>
                <w:szCs w:val="22"/>
              </w:rPr>
            </w:pPr>
            <w:r w:rsidRPr="008057F6">
              <w:rPr>
                <w:color w:val="000000"/>
                <w:sz w:val="18"/>
                <w:szCs w:val="22"/>
              </w:rPr>
              <w:t>53.9                             (9.81; 30.9-76.7)</w:t>
            </w:r>
          </w:p>
        </w:tc>
        <w:tc>
          <w:tcPr>
            <w:tcW w:w="1550" w:type="dxa"/>
            <w:tcBorders>
              <w:top w:val="single" w:sz="4" w:space="0" w:color="BFBFBF"/>
              <w:left w:val="nil"/>
              <w:bottom w:val="single" w:sz="4" w:space="0" w:color="BFBFBF"/>
              <w:right w:val="single" w:sz="4" w:space="0" w:color="auto"/>
            </w:tcBorders>
            <w:shd w:val="clear" w:color="auto" w:fill="auto"/>
            <w:vAlign w:val="center"/>
            <w:hideMark/>
          </w:tcPr>
          <w:p w:rsidR="008057F6" w:rsidRPr="008057F6" w:rsidRDefault="008057F6" w:rsidP="008057F6">
            <w:pPr>
              <w:jc w:val="center"/>
              <w:rPr>
                <w:color w:val="000000"/>
                <w:sz w:val="18"/>
                <w:szCs w:val="22"/>
              </w:rPr>
            </w:pPr>
            <w:r w:rsidRPr="008057F6">
              <w:rPr>
                <w:color w:val="000000"/>
                <w:sz w:val="18"/>
                <w:szCs w:val="22"/>
              </w:rPr>
              <w:t>50.7                                  (10.45; 26.3-78.4)</w:t>
            </w:r>
          </w:p>
        </w:tc>
      </w:tr>
      <w:tr w:rsidR="008057F6" w:rsidRPr="008057F6" w:rsidTr="00B05C27">
        <w:trPr>
          <w:trHeight w:val="461"/>
          <w:jc w:val="center"/>
        </w:trPr>
        <w:tc>
          <w:tcPr>
            <w:tcW w:w="1840" w:type="dxa"/>
            <w:tcBorders>
              <w:top w:val="single" w:sz="4" w:space="0" w:color="BFBFBF"/>
              <w:left w:val="single" w:sz="4" w:space="0" w:color="auto"/>
              <w:bottom w:val="single" w:sz="4" w:space="0" w:color="auto"/>
              <w:right w:val="nil"/>
            </w:tcBorders>
            <w:shd w:val="clear" w:color="auto" w:fill="auto"/>
            <w:noWrap/>
            <w:vAlign w:val="center"/>
            <w:hideMark/>
          </w:tcPr>
          <w:p w:rsidR="008057F6" w:rsidRPr="008057F6" w:rsidRDefault="008057F6" w:rsidP="008057F6">
            <w:pPr>
              <w:jc w:val="center"/>
              <w:rPr>
                <w:color w:val="000000"/>
                <w:sz w:val="18"/>
                <w:szCs w:val="22"/>
              </w:rPr>
            </w:pPr>
            <w:r w:rsidRPr="008057F6">
              <w:rPr>
                <w:color w:val="000000"/>
                <w:sz w:val="18"/>
                <w:szCs w:val="22"/>
              </w:rPr>
              <w:t>Sex (% female)</w:t>
            </w:r>
          </w:p>
        </w:tc>
        <w:tc>
          <w:tcPr>
            <w:tcW w:w="1770" w:type="dxa"/>
            <w:tcBorders>
              <w:top w:val="single" w:sz="4" w:space="0" w:color="BFBFBF"/>
              <w:left w:val="single" w:sz="4" w:space="0" w:color="auto"/>
              <w:bottom w:val="single" w:sz="4" w:space="0" w:color="auto"/>
              <w:right w:val="nil"/>
            </w:tcBorders>
            <w:shd w:val="clear" w:color="auto" w:fill="auto"/>
            <w:vAlign w:val="center"/>
            <w:hideMark/>
          </w:tcPr>
          <w:p w:rsidR="008057F6" w:rsidRPr="008057F6" w:rsidRDefault="008057F6" w:rsidP="008057F6">
            <w:pPr>
              <w:jc w:val="center"/>
              <w:rPr>
                <w:color w:val="000000"/>
                <w:sz w:val="18"/>
                <w:szCs w:val="22"/>
              </w:rPr>
            </w:pPr>
            <w:r w:rsidRPr="008057F6">
              <w:rPr>
                <w:color w:val="000000"/>
                <w:sz w:val="18"/>
                <w:szCs w:val="22"/>
              </w:rPr>
              <w:t>92.5%                     Missing = 70</w:t>
            </w:r>
          </w:p>
        </w:tc>
        <w:tc>
          <w:tcPr>
            <w:tcW w:w="1770" w:type="dxa"/>
            <w:tcBorders>
              <w:top w:val="single" w:sz="4" w:space="0" w:color="BFBFBF"/>
              <w:left w:val="nil"/>
              <w:bottom w:val="single" w:sz="4" w:space="0" w:color="auto"/>
              <w:right w:val="single" w:sz="4" w:space="0" w:color="auto"/>
            </w:tcBorders>
            <w:shd w:val="clear" w:color="auto" w:fill="auto"/>
            <w:vAlign w:val="center"/>
            <w:hideMark/>
          </w:tcPr>
          <w:p w:rsidR="008057F6" w:rsidRPr="008057F6" w:rsidRDefault="008057F6" w:rsidP="008057F6">
            <w:pPr>
              <w:jc w:val="center"/>
              <w:rPr>
                <w:color w:val="000000"/>
                <w:sz w:val="18"/>
                <w:szCs w:val="22"/>
              </w:rPr>
            </w:pPr>
            <w:r w:rsidRPr="008057F6">
              <w:rPr>
                <w:color w:val="000000"/>
                <w:sz w:val="18"/>
                <w:szCs w:val="22"/>
              </w:rPr>
              <w:t>82.4%                  Missing = 36</w:t>
            </w:r>
          </w:p>
        </w:tc>
        <w:tc>
          <w:tcPr>
            <w:tcW w:w="1550" w:type="dxa"/>
            <w:tcBorders>
              <w:top w:val="single" w:sz="4" w:space="0" w:color="BFBFBF"/>
              <w:left w:val="nil"/>
              <w:bottom w:val="single" w:sz="4" w:space="0" w:color="auto"/>
              <w:right w:val="single" w:sz="4" w:space="0" w:color="auto"/>
            </w:tcBorders>
            <w:shd w:val="clear" w:color="auto" w:fill="auto"/>
            <w:vAlign w:val="center"/>
            <w:hideMark/>
          </w:tcPr>
          <w:p w:rsidR="008057F6" w:rsidRPr="008057F6" w:rsidRDefault="008057F6" w:rsidP="008057F6">
            <w:pPr>
              <w:jc w:val="center"/>
              <w:rPr>
                <w:color w:val="000000"/>
                <w:sz w:val="18"/>
                <w:szCs w:val="22"/>
              </w:rPr>
            </w:pPr>
            <w:r w:rsidRPr="008057F6">
              <w:rPr>
                <w:color w:val="000000"/>
                <w:sz w:val="18"/>
                <w:szCs w:val="22"/>
              </w:rPr>
              <w:t>88.5%                       Missing = 106</w:t>
            </w:r>
          </w:p>
        </w:tc>
      </w:tr>
    </w:tbl>
    <w:p w:rsidR="008057F6" w:rsidRPr="008057F6" w:rsidRDefault="008057F6" w:rsidP="008057F6">
      <w:pPr>
        <w:ind w:left="1440" w:right="1278"/>
        <w:rPr>
          <w:color w:val="000000"/>
          <w:sz w:val="18"/>
        </w:rPr>
      </w:pPr>
      <w:r w:rsidRPr="008057F6">
        <w:rPr>
          <w:color w:val="000000"/>
          <w:sz w:val="18"/>
        </w:rPr>
        <w:t xml:space="preserve">Note: Descriptive statistics presented for continuous variables are the mean (standard deviation; minimum – maximum). For binary variables, percentages and number of missing cases are displayed. </w:t>
      </w:r>
    </w:p>
    <w:p w:rsidR="00AF43BC" w:rsidRDefault="00AF43BC" w:rsidP="00A466F0">
      <w:pPr>
        <w:autoSpaceDE w:val="0"/>
        <w:autoSpaceDN w:val="0"/>
        <w:adjustRightInd w:val="0"/>
        <w:ind w:left="720"/>
        <w:rPr>
          <w:sz w:val="22"/>
          <w:szCs w:val="22"/>
        </w:rPr>
      </w:pPr>
    </w:p>
    <w:p w:rsidR="00A466F0" w:rsidRDefault="00A466F0" w:rsidP="00583B7E">
      <w:pPr>
        <w:autoSpaceDE w:val="0"/>
        <w:autoSpaceDN w:val="0"/>
        <w:adjustRightInd w:val="0"/>
        <w:spacing w:after="120"/>
        <w:ind w:left="720"/>
        <w:rPr>
          <w:sz w:val="22"/>
          <w:szCs w:val="22"/>
        </w:rPr>
      </w:pPr>
    </w:p>
    <w:tbl>
      <w:tblPr>
        <w:tblW w:w="7820" w:type="dxa"/>
        <w:jc w:val="center"/>
        <w:tblInd w:w="108" w:type="dxa"/>
        <w:tblLook w:val="04A0"/>
      </w:tblPr>
      <w:tblGrid>
        <w:gridCol w:w="1735"/>
        <w:gridCol w:w="1226"/>
        <w:gridCol w:w="1251"/>
        <w:gridCol w:w="1251"/>
        <w:gridCol w:w="1397"/>
        <w:gridCol w:w="960"/>
      </w:tblGrid>
      <w:tr w:rsidR="00830EC6" w:rsidRPr="00830EC6" w:rsidTr="00803C89">
        <w:trPr>
          <w:trHeight w:val="230"/>
          <w:jc w:val="center"/>
        </w:trPr>
        <w:tc>
          <w:tcPr>
            <w:tcW w:w="6860" w:type="dxa"/>
            <w:gridSpan w:val="5"/>
            <w:tcBorders>
              <w:top w:val="nil"/>
              <w:left w:val="nil"/>
              <w:bottom w:val="nil"/>
              <w:right w:val="nil"/>
            </w:tcBorders>
            <w:shd w:val="clear" w:color="auto" w:fill="auto"/>
            <w:noWrap/>
            <w:vAlign w:val="bottom"/>
            <w:hideMark/>
          </w:tcPr>
          <w:p w:rsidR="00830EC6" w:rsidRPr="00830EC6" w:rsidRDefault="008057F6" w:rsidP="00830EC6">
            <w:pPr>
              <w:rPr>
                <w:color w:val="000000"/>
                <w:sz w:val="18"/>
                <w:szCs w:val="22"/>
              </w:rPr>
            </w:pPr>
            <w:r>
              <w:rPr>
                <w:color w:val="000000"/>
                <w:sz w:val="18"/>
                <w:szCs w:val="22"/>
              </w:rPr>
              <w:t xml:space="preserve">Table 2: </w:t>
            </w:r>
            <w:r w:rsidR="00830EC6" w:rsidRPr="00830EC6">
              <w:rPr>
                <w:color w:val="000000"/>
                <w:sz w:val="18"/>
                <w:szCs w:val="22"/>
              </w:rPr>
              <w:t>Kaplan-Meier based estimates of time to death for all subjects</w:t>
            </w:r>
          </w:p>
        </w:tc>
        <w:tc>
          <w:tcPr>
            <w:tcW w:w="960" w:type="dxa"/>
            <w:tcBorders>
              <w:top w:val="nil"/>
              <w:left w:val="nil"/>
              <w:bottom w:val="nil"/>
              <w:right w:val="nil"/>
            </w:tcBorders>
            <w:shd w:val="clear" w:color="auto" w:fill="auto"/>
            <w:noWrap/>
            <w:vAlign w:val="bottom"/>
            <w:hideMark/>
          </w:tcPr>
          <w:p w:rsidR="00830EC6" w:rsidRPr="00830EC6" w:rsidRDefault="00830EC6" w:rsidP="00830EC6">
            <w:pPr>
              <w:rPr>
                <w:color w:val="000000"/>
                <w:sz w:val="18"/>
                <w:szCs w:val="22"/>
              </w:rPr>
            </w:pPr>
          </w:p>
        </w:tc>
      </w:tr>
      <w:tr w:rsidR="00830EC6" w:rsidRPr="00830EC6" w:rsidTr="00803C89">
        <w:trPr>
          <w:trHeight w:val="288"/>
          <w:jc w:val="center"/>
        </w:trPr>
        <w:tc>
          <w:tcPr>
            <w:tcW w:w="1735" w:type="dxa"/>
            <w:tcBorders>
              <w:top w:val="single" w:sz="4" w:space="0" w:color="auto"/>
              <w:left w:val="single" w:sz="4" w:space="0" w:color="auto"/>
              <w:bottom w:val="nil"/>
              <w:right w:val="single" w:sz="4" w:space="0" w:color="auto"/>
            </w:tcBorders>
            <w:shd w:val="clear" w:color="auto" w:fill="auto"/>
            <w:noWrap/>
            <w:vAlign w:val="bottom"/>
            <w:hideMark/>
          </w:tcPr>
          <w:p w:rsidR="00830EC6" w:rsidRPr="00830EC6" w:rsidRDefault="00830EC6" w:rsidP="00830EC6">
            <w:pPr>
              <w:rPr>
                <w:color w:val="000000"/>
                <w:sz w:val="18"/>
                <w:szCs w:val="22"/>
              </w:rPr>
            </w:pPr>
            <w:r w:rsidRPr="00830EC6">
              <w:rPr>
                <w:color w:val="000000"/>
                <w:sz w:val="18"/>
                <w:szCs w:val="22"/>
              </w:rPr>
              <w:t> </w:t>
            </w:r>
          </w:p>
        </w:tc>
        <w:tc>
          <w:tcPr>
            <w:tcW w:w="512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30EC6" w:rsidRPr="00830EC6" w:rsidRDefault="00830EC6" w:rsidP="001766E6">
            <w:pPr>
              <w:jc w:val="center"/>
              <w:rPr>
                <w:b/>
                <w:bCs/>
                <w:color w:val="000000"/>
                <w:sz w:val="18"/>
                <w:szCs w:val="22"/>
              </w:rPr>
            </w:pPr>
            <w:r w:rsidRPr="00830EC6">
              <w:rPr>
                <w:b/>
                <w:bCs/>
                <w:color w:val="000000"/>
                <w:sz w:val="18"/>
                <w:szCs w:val="22"/>
              </w:rPr>
              <w:t>Bilirubin at Study Enrollment</w:t>
            </w:r>
          </w:p>
        </w:tc>
        <w:tc>
          <w:tcPr>
            <w:tcW w:w="960" w:type="dxa"/>
            <w:vMerge w:val="restart"/>
            <w:tcBorders>
              <w:top w:val="single" w:sz="4" w:space="0" w:color="auto"/>
              <w:left w:val="nil"/>
              <w:bottom w:val="single" w:sz="4" w:space="0" w:color="000000"/>
              <w:right w:val="single" w:sz="4" w:space="0" w:color="auto"/>
            </w:tcBorders>
            <w:shd w:val="clear" w:color="auto" w:fill="auto"/>
            <w:vAlign w:val="center"/>
            <w:hideMark/>
          </w:tcPr>
          <w:p w:rsidR="00830EC6" w:rsidRPr="00830EC6" w:rsidRDefault="00830EC6" w:rsidP="001766E6">
            <w:pPr>
              <w:jc w:val="center"/>
              <w:rPr>
                <w:b/>
                <w:bCs/>
                <w:color w:val="000000"/>
                <w:sz w:val="18"/>
                <w:szCs w:val="22"/>
              </w:rPr>
            </w:pPr>
            <w:r w:rsidRPr="00830EC6">
              <w:rPr>
                <w:b/>
                <w:bCs/>
                <w:color w:val="000000"/>
                <w:sz w:val="18"/>
                <w:szCs w:val="22"/>
              </w:rPr>
              <w:t>All subjects</w:t>
            </w:r>
          </w:p>
        </w:tc>
      </w:tr>
      <w:tr w:rsidR="00830EC6" w:rsidRPr="00830EC6" w:rsidTr="00803C89">
        <w:trPr>
          <w:trHeight w:val="288"/>
          <w:jc w:val="center"/>
        </w:trPr>
        <w:tc>
          <w:tcPr>
            <w:tcW w:w="1735" w:type="dxa"/>
            <w:tcBorders>
              <w:top w:val="nil"/>
              <w:left w:val="single" w:sz="4" w:space="0" w:color="auto"/>
              <w:bottom w:val="single" w:sz="4" w:space="0" w:color="auto"/>
              <w:right w:val="single" w:sz="4" w:space="0" w:color="auto"/>
            </w:tcBorders>
            <w:shd w:val="clear" w:color="auto" w:fill="auto"/>
            <w:noWrap/>
            <w:vAlign w:val="bottom"/>
            <w:hideMark/>
          </w:tcPr>
          <w:p w:rsidR="00830EC6" w:rsidRPr="00830EC6" w:rsidRDefault="00830EC6" w:rsidP="00830EC6">
            <w:pPr>
              <w:rPr>
                <w:color w:val="000000"/>
                <w:sz w:val="18"/>
                <w:szCs w:val="22"/>
              </w:rPr>
            </w:pPr>
            <w:r w:rsidRPr="00830EC6">
              <w:rPr>
                <w:color w:val="000000"/>
                <w:sz w:val="18"/>
                <w:szCs w:val="22"/>
              </w:rPr>
              <w:t> </w:t>
            </w:r>
          </w:p>
        </w:tc>
        <w:tc>
          <w:tcPr>
            <w:tcW w:w="1226" w:type="dxa"/>
            <w:tcBorders>
              <w:top w:val="nil"/>
              <w:left w:val="nil"/>
              <w:bottom w:val="single" w:sz="4" w:space="0" w:color="auto"/>
              <w:right w:val="nil"/>
            </w:tcBorders>
            <w:shd w:val="clear" w:color="auto" w:fill="auto"/>
            <w:noWrap/>
            <w:vAlign w:val="center"/>
            <w:hideMark/>
          </w:tcPr>
          <w:p w:rsidR="00830EC6" w:rsidRPr="00830EC6" w:rsidRDefault="00830EC6" w:rsidP="001766E6">
            <w:pPr>
              <w:jc w:val="center"/>
              <w:rPr>
                <w:b/>
                <w:bCs/>
                <w:color w:val="000000"/>
                <w:sz w:val="18"/>
                <w:szCs w:val="22"/>
              </w:rPr>
            </w:pPr>
            <w:r w:rsidRPr="00830EC6">
              <w:rPr>
                <w:b/>
                <w:bCs/>
                <w:color w:val="000000"/>
                <w:sz w:val="18"/>
                <w:szCs w:val="22"/>
              </w:rPr>
              <w:t>&lt; 1 mg/dL</w:t>
            </w:r>
          </w:p>
        </w:tc>
        <w:tc>
          <w:tcPr>
            <w:tcW w:w="1251" w:type="dxa"/>
            <w:tcBorders>
              <w:top w:val="nil"/>
              <w:left w:val="nil"/>
              <w:bottom w:val="single" w:sz="4" w:space="0" w:color="auto"/>
              <w:right w:val="nil"/>
            </w:tcBorders>
            <w:shd w:val="clear" w:color="auto" w:fill="auto"/>
            <w:noWrap/>
            <w:vAlign w:val="center"/>
            <w:hideMark/>
          </w:tcPr>
          <w:p w:rsidR="00830EC6" w:rsidRPr="00830EC6" w:rsidRDefault="00830EC6" w:rsidP="001766E6">
            <w:pPr>
              <w:jc w:val="center"/>
              <w:rPr>
                <w:b/>
                <w:bCs/>
                <w:color w:val="000000"/>
                <w:sz w:val="18"/>
                <w:szCs w:val="22"/>
              </w:rPr>
            </w:pPr>
            <w:r w:rsidRPr="00830EC6">
              <w:rPr>
                <w:b/>
                <w:bCs/>
                <w:color w:val="000000"/>
                <w:sz w:val="18"/>
                <w:szCs w:val="22"/>
              </w:rPr>
              <w:t>1-2 mg/dL</w:t>
            </w:r>
          </w:p>
        </w:tc>
        <w:tc>
          <w:tcPr>
            <w:tcW w:w="1251" w:type="dxa"/>
            <w:tcBorders>
              <w:top w:val="nil"/>
              <w:left w:val="nil"/>
              <w:bottom w:val="single" w:sz="4" w:space="0" w:color="auto"/>
              <w:right w:val="nil"/>
            </w:tcBorders>
            <w:shd w:val="clear" w:color="auto" w:fill="auto"/>
            <w:noWrap/>
            <w:vAlign w:val="center"/>
            <w:hideMark/>
          </w:tcPr>
          <w:p w:rsidR="00830EC6" w:rsidRPr="00830EC6" w:rsidRDefault="00830EC6" w:rsidP="001766E6">
            <w:pPr>
              <w:jc w:val="center"/>
              <w:rPr>
                <w:b/>
                <w:bCs/>
                <w:color w:val="000000"/>
                <w:sz w:val="18"/>
                <w:szCs w:val="22"/>
              </w:rPr>
            </w:pPr>
            <w:r w:rsidRPr="00830EC6">
              <w:rPr>
                <w:b/>
                <w:bCs/>
                <w:color w:val="000000"/>
                <w:sz w:val="18"/>
                <w:szCs w:val="22"/>
              </w:rPr>
              <w:t>2-4 mg/dL</w:t>
            </w:r>
          </w:p>
        </w:tc>
        <w:tc>
          <w:tcPr>
            <w:tcW w:w="1397" w:type="dxa"/>
            <w:tcBorders>
              <w:top w:val="nil"/>
              <w:left w:val="nil"/>
              <w:bottom w:val="single" w:sz="4" w:space="0" w:color="auto"/>
              <w:right w:val="single" w:sz="4" w:space="0" w:color="auto"/>
            </w:tcBorders>
            <w:shd w:val="clear" w:color="auto" w:fill="auto"/>
            <w:noWrap/>
            <w:vAlign w:val="center"/>
            <w:hideMark/>
          </w:tcPr>
          <w:p w:rsidR="00830EC6" w:rsidRPr="00830EC6" w:rsidRDefault="00830EC6" w:rsidP="001766E6">
            <w:pPr>
              <w:jc w:val="center"/>
              <w:rPr>
                <w:b/>
                <w:bCs/>
                <w:color w:val="000000"/>
                <w:sz w:val="18"/>
                <w:szCs w:val="22"/>
              </w:rPr>
            </w:pPr>
            <w:r w:rsidRPr="00830EC6">
              <w:rPr>
                <w:b/>
                <w:bCs/>
                <w:color w:val="000000"/>
                <w:sz w:val="18"/>
                <w:szCs w:val="22"/>
              </w:rPr>
              <w:t>4-28 mg/dL</w:t>
            </w:r>
          </w:p>
        </w:tc>
        <w:tc>
          <w:tcPr>
            <w:tcW w:w="960" w:type="dxa"/>
            <w:vMerge/>
            <w:tcBorders>
              <w:top w:val="single" w:sz="4" w:space="0" w:color="auto"/>
              <w:left w:val="nil"/>
              <w:bottom w:val="single" w:sz="4" w:space="0" w:color="000000"/>
              <w:right w:val="single" w:sz="4" w:space="0" w:color="auto"/>
            </w:tcBorders>
            <w:vAlign w:val="center"/>
            <w:hideMark/>
          </w:tcPr>
          <w:p w:rsidR="00830EC6" w:rsidRPr="00830EC6" w:rsidRDefault="00830EC6" w:rsidP="00830EC6">
            <w:pPr>
              <w:rPr>
                <w:b/>
                <w:bCs/>
                <w:color w:val="000000"/>
                <w:sz w:val="18"/>
                <w:szCs w:val="22"/>
              </w:rPr>
            </w:pPr>
          </w:p>
        </w:tc>
      </w:tr>
      <w:tr w:rsidR="00830EC6" w:rsidRPr="00830EC6" w:rsidTr="00803C89">
        <w:trPr>
          <w:trHeight w:val="230"/>
          <w:jc w:val="center"/>
        </w:trPr>
        <w:tc>
          <w:tcPr>
            <w:tcW w:w="1735" w:type="dxa"/>
            <w:tcBorders>
              <w:top w:val="nil"/>
              <w:left w:val="single" w:sz="4" w:space="0" w:color="auto"/>
              <w:bottom w:val="nil"/>
              <w:right w:val="single" w:sz="4" w:space="0" w:color="auto"/>
            </w:tcBorders>
            <w:shd w:val="clear" w:color="auto" w:fill="auto"/>
            <w:vAlign w:val="center"/>
            <w:hideMark/>
          </w:tcPr>
          <w:p w:rsidR="00830EC6" w:rsidRPr="00830EC6" w:rsidRDefault="00830EC6" w:rsidP="00830EC6">
            <w:pPr>
              <w:rPr>
                <w:color w:val="000000"/>
                <w:sz w:val="18"/>
                <w:szCs w:val="22"/>
              </w:rPr>
            </w:pPr>
            <w:r w:rsidRPr="00830EC6">
              <w:rPr>
                <w:color w:val="000000"/>
                <w:sz w:val="18"/>
                <w:szCs w:val="22"/>
              </w:rPr>
              <w:t># Subjects</w:t>
            </w:r>
          </w:p>
        </w:tc>
        <w:tc>
          <w:tcPr>
            <w:tcW w:w="1226" w:type="dxa"/>
            <w:tcBorders>
              <w:top w:val="nil"/>
              <w:left w:val="nil"/>
              <w:bottom w:val="nil"/>
              <w:right w:val="nil"/>
            </w:tcBorders>
            <w:shd w:val="clear" w:color="auto" w:fill="auto"/>
            <w:noWrap/>
            <w:vAlign w:val="center"/>
            <w:hideMark/>
          </w:tcPr>
          <w:p w:rsidR="00830EC6" w:rsidRPr="00830EC6" w:rsidRDefault="00830EC6" w:rsidP="00830EC6">
            <w:pPr>
              <w:jc w:val="center"/>
              <w:rPr>
                <w:color w:val="000000"/>
                <w:sz w:val="18"/>
                <w:szCs w:val="22"/>
              </w:rPr>
            </w:pPr>
            <w:r w:rsidRPr="00830EC6">
              <w:rPr>
                <w:color w:val="000000"/>
                <w:sz w:val="18"/>
                <w:szCs w:val="22"/>
              </w:rPr>
              <w:t>142</w:t>
            </w:r>
          </w:p>
        </w:tc>
        <w:tc>
          <w:tcPr>
            <w:tcW w:w="1251" w:type="dxa"/>
            <w:tcBorders>
              <w:top w:val="nil"/>
              <w:left w:val="nil"/>
              <w:bottom w:val="nil"/>
              <w:right w:val="nil"/>
            </w:tcBorders>
            <w:shd w:val="clear" w:color="auto" w:fill="auto"/>
            <w:noWrap/>
            <w:vAlign w:val="center"/>
            <w:hideMark/>
          </w:tcPr>
          <w:p w:rsidR="00830EC6" w:rsidRPr="00830EC6" w:rsidRDefault="00830EC6" w:rsidP="00830EC6">
            <w:pPr>
              <w:jc w:val="center"/>
              <w:rPr>
                <w:color w:val="000000"/>
                <w:sz w:val="18"/>
                <w:szCs w:val="22"/>
              </w:rPr>
            </w:pPr>
            <w:r w:rsidRPr="00830EC6">
              <w:rPr>
                <w:color w:val="000000"/>
                <w:sz w:val="18"/>
                <w:szCs w:val="22"/>
              </w:rPr>
              <w:t>107</w:t>
            </w:r>
          </w:p>
        </w:tc>
        <w:tc>
          <w:tcPr>
            <w:tcW w:w="1251" w:type="dxa"/>
            <w:tcBorders>
              <w:top w:val="nil"/>
              <w:left w:val="nil"/>
              <w:bottom w:val="nil"/>
              <w:right w:val="nil"/>
            </w:tcBorders>
            <w:shd w:val="clear" w:color="auto" w:fill="auto"/>
            <w:noWrap/>
            <w:vAlign w:val="center"/>
            <w:hideMark/>
          </w:tcPr>
          <w:p w:rsidR="00830EC6" w:rsidRPr="00830EC6" w:rsidRDefault="00830EC6" w:rsidP="00830EC6">
            <w:pPr>
              <w:jc w:val="center"/>
              <w:rPr>
                <w:color w:val="000000"/>
                <w:sz w:val="18"/>
                <w:szCs w:val="22"/>
              </w:rPr>
            </w:pPr>
            <w:r w:rsidRPr="00830EC6">
              <w:rPr>
                <w:color w:val="000000"/>
                <w:sz w:val="18"/>
                <w:szCs w:val="22"/>
              </w:rPr>
              <w:t>78</w:t>
            </w:r>
          </w:p>
        </w:tc>
        <w:tc>
          <w:tcPr>
            <w:tcW w:w="1397" w:type="dxa"/>
            <w:tcBorders>
              <w:top w:val="nil"/>
              <w:left w:val="nil"/>
              <w:bottom w:val="nil"/>
              <w:right w:val="single" w:sz="4" w:space="0" w:color="auto"/>
            </w:tcBorders>
            <w:shd w:val="clear" w:color="auto" w:fill="auto"/>
            <w:noWrap/>
            <w:vAlign w:val="center"/>
            <w:hideMark/>
          </w:tcPr>
          <w:p w:rsidR="00830EC6" w:rsidRPr="00830EC6" w:rsidRDefault="00830EC6" w:rsidP="00830EC6">
            <w:pPr>
              <w:jc w:val="center"/>
              <w:rPr>
                <w:color w:val="000000"/>
                <w:sz w:val="18"/>
                <w:szCs w:val="22"/>
              </w:rPr>
            </w:pPr>
            <w:r w:rsidRPr="00830EC6">
              <w:rPr>
                <w:color w:val="000000"/>
                <w:sz w:val="18"/>
                <w:szCs w:val="22"/>
              </w:rPr>
              <w:t>91</w:t>
            </w:r>
          </w:p>
        </w:tc>
        <w:tc>
          <w:tcPr>
            <w:tcW w:w="960" w:type="dxa"/>
            <w:tcBorders>
              <w:top w:val="nil"/>
              <w:left w:val="nil"/>
              <w:bottom w:val="nil"/>
              <w:right w:val="single" w:sz="4" w:space="0" w:color="auto"/>
            </w:tcBorders>
            <w:shd w:val="clear" w:color="auto" w:fill="auto"/>
            <w:noWrap/>
            <w:vAlign w:val="center"/>
            <w:hideMark/>
          </w:tcPr>
          <w:p w:rsidR="00830EC6" w:rsidRPr="00830EC6" w:rsidRDefault="00830EC6" w:rsidP="00830EC6">
            <w:pPr>
              <w:jc w:val="center"/>
              <w:rPr>
                <w:color w:val="000000"/>
                <w:sz w:val="18"/>
                <w:szCs w:val="22"/>
              </w:rPr>
            </w:pPr>
            <w:r w:rsidRPr="00830EC6">
              <w:rPr>
                <w:color w:val="000000"/>
                <w:sz w:val="18"/>
                <w:szCs w:val="22"/>
              </w:rPr>
              <w:t>418</w:t>
            </w:r>
          </w:p>
        </w:tc>
      </w:tr>
      <w:tr w:rsidR="00830EC6" w:rsidRPr="00830EC6" w:rsidTr="00B05C27">
        <w:trPr>
          <w:trHeight w:val="230"/>
          <w:jc w:val="center"/>
        </w:trPr>
        <w:tc>
          <w:tcPr>
            <w:tcW w:w="1735" w:type="dxa"/>
            <w:tcBorders>
              <w:top w:val="nil"/>
              <w:left w:val="single" w:sz="4" w:space="0" w:color="auto"/>
              <w:bottom w:val="single" w:sz="4" w:space="0" w:color="BFBFBF"/>
              <w:right w:val="single" w:sz="4" w:space="0" w:color="auto"/>
            </w:tcBorders>
            <w:shd w:val="clear" w:color="auto" w:fill="auto"/>
            <w:vAlign w:val="center"/>
            <w:hideMark/>
          </w:tcPr>
          <w:p w:rsidR="00830EC6" w:rsidRPr="00830EC6" w:rsidRDefault="00830EC6" w:rsidP="00830EC6">
            <w:pPr>
              <w:rPr>
                <w:color w:val="000000"/>
                <w:sz w:val="18"/>
                <w:szCs w:val="22"/>
              </w:rPr>
            </w:pPr>
            <w:r w:rsidRPr="00830EC6">
              <w:rPr>
                <w:color w:val="000000"/>
                <w:sz w:val="18"/>
                <w:szCs w:val="22"/>
              </w:rPr>
              <w:t># Deaths</w:t>
            </w:r>
          </w:p>
        </w:tc>
        <w:tc>
          <w:tcPr>
            <w:tcW w:w="1226" w:type="dxa"/>
            <w:tcBorders>
              <w:top w:val="nil"/>
              <w:left w:val="nil"/>
              <w:bottom w:val="single" w:sz="4" w:space="0" w:color="BFBFBF"/>
              <w:right w:val="nil"/>
            </w:tcBorders>
            <w:shd w:val="clear" w:color="auto" w:fill="auto"/>
            <w:noWrap/>
            <w:vAlign w:val="center"/>
            <w:hideMark/>
          </w:tcPr>
          <w:p w:rsidR="00830EC6" w:rsidRPr="00830EC6" w:rsidRDefault="00830EC6" w:rsidP="00830EC6">
            <w:pPr>
              <w:jc w:val="center"/>
              <w:rPr>
                <w:color w:val="000000"/>
                <w:sz w:val="18"/>
                <w:szCs w:val="22"/>
              </w:rPr>
            </w:pPr>
            <w:r w:rsidRPr="00830EC6">
              <w:rPr>
                <w:color w:val="000000"/>
                <w:sz w:val="18"/>
                <w:szCs w:val="22"/>
              </w:rPr>
              <w:t>20</w:t>
            </w:r>
          </w:p>
        </w:tc>
        <w:tc>
          <w:tcPr>
            <w:tcW w:w="1251" w:type="dxa"/>
            <w:tcBorders>
              <w:top w:val="nil"/>
              <w:left w:val="nil"/>
              <w:bottom w:val="single" w:sz="4" w:space="0" w:color="BFBFBF"/>
              <w:right w:val="nil"/>
            </w:tcBorders>
            <w:shd w:val="clear" w:color="auto" w:fill="auto"/>
            <w:noWrap/>
            <w:vAlign w:val="center"/>
            <w:hideMark/>
          </w:tcPr>
          <w:p w:rsidR="00830EC6" w:rsidRPr="00830EC6" w:rsidRDefault="00830EC6" w:rsidP="00830EC6">
            <w:pPr>
              <w:jc w:val="center"/>
              <w:rPr>
                <w:color w:val="000000"/>
                <w:sz w:val="18"/>
                <w:szCs w:val="22"/>
              </w:rPr>
            </w:pPr>
            <w:r w:rsidRPr="00830EC6">
              <w:rPr>
                <w:color w:val="000000"/>
                <w:sz w:val="18"/>
                <w:szCs w:val="22"/>
              </w:rPr>
              <w:t>30</w:t>
            </w:r>
          </w:p>
        </w:tc>
        <w:tc>
          <w:tcPr>
            <w:tcW w:w="1251" w:type="dxa"/>
            <w:tcBorders>
              <w:top w:val="nil"/>
              <w:left w:val="nil"/>
              <w:bottom w:val="single" w:sz="4" w:space="0" w:color="BFBFBF"/>
              <w:right w:val="nil"/>
            </w:tcBorders>
            <w:shd w:val="clear" w:color="auto" w:fill="auto"/>
            <w:noWrap/>
            <w:vAlign w:val="center"/>
            <w:hideMark/>
          </w:tcPr>
          <w:p w:rsidR="00830EC6" w:rsidRPr="00830EC6" w:rsidRDefault="00830EC6" w:rsidP="00830EC6">
            <w:pPr>
              <w:jc w:val="center"/>
              <w:rPr>
                <w:color w:val="000000"/>
                <w:sz w:val="18"/>
                <w:szCs w:val="22"/>
              </w:rPr>
            </w:pPr>
            <w:r w:rsidRPr="00830EC6">
              <w:rPr>
                <w:color w:val="000000"/>
                <w:sz w:val="18"/>
                <w:szCs w:val="22"/>
              </w:rPr>
              <w:t>44</w:t>
            </w:r>
          </w:p>
        </w:tc>
        <w:tc>
          <w:tcPr>
            <w:tcW w:w="1397" w:type="dxa"/>
            <w:tcBorders>
              <w:top w:val="nil"/>
              <w:left w:val="nil"/>
              <w:bottom w:val="single" w:sz="4" w:space="0" w:color="BFBFBF"/>
              <w:right w:val="single" w:sz="4" w:space="0" w:color="auto"/>
            </w:tcBorders>
            <w:shd w:val="clear" w:color="auto" w:fill="auto"/>
            <w:noWrap/>
            <w:vAlign w:val="center"/>
            <w:hideMark/>
          </w:tcPr>
          <w:p w:rsidR="00830EC6" w:rsidRPr="00830EC6" w:rsidRDefault="00830EC6" w:rsidP="00830EC6">
            <w:pPr>
              <w:jc w:val="center"/>
              <w:rPr>
                <w:color w:val="000000"/>
                <w:sz w:val="18"/>
                <w:szCs w:val="22"/>
              </w:rPr>
            </w:pPr>
            <w:r w:rsidRPr="00830EC6">
              <w:rPr>
                <w:color w:val="000000"/>
                <w:sz w:val="18"/>
                <w:szCs w:val="22"/>
              </w:rPr>
              <w:t>67</w:t>
            </w:r>
          </w:p>
        </w:tc>
        <w:tc>
          <w:tcPr>
            <w:tcW w:w="960" w:type="dxa"/>
            <w:tcBorders>
              <w:top w:val="nil"/>
              <w:left w:val="nil"/>
              <w:bottom w:val="single" w:sz="4" w:space="0" w:color="BFBFBF"/>
              <w:right w:val="single" w:sz="4" w:space="0" w:color="auto"/>
            </w:tcBorders>
            <w:shd w:val="clear" w:color="auto" w:fill="auto"/>
            <w:noWrap/>
            <w:vAlign w:val="center"/>
            <w:hideMark/>
          </w:tcPr>
          <w:p w:rsidR="00830EC6" w:rsidRPr="00830EC6" w:rsidRDefault="00830EC6" w:rsidP="00830EC6">
            <w:pPr>
              <w:jc w:val="center"/>
              <w:rPr>
                <w:color w:val="000000"/>
                <w:sz w:val="18"/>
                <w:szCs w:val="22"/>
              </w:rPr>
            </w:pPr>
            <w:r w:rsidRPr="00830EC6">
              <w:rPr>
                <w:color w:val="000000"/>
                <w:sz w:val="18"/>
                <w:szCs w:val="22"/>
              </w:rPr>
              <w:t>161</w:t>
            </w:r>
          </w:p>
        </w:tc>
      </w:tr>
      <w:tr w:rsidR="00830EC6" w:rsidRPr="00830EC6" w:rsidTr="00B05C27">
        <w:trPr>
          <w:trHeight w:val="461"/>
          <w:jc w:val="center"/>
        </w:trPr>
        <w:tc>
          <w:tcPr>
            <w:tcW w:w="1735" w:type="dxa"/>
            <w:tcBorders>
              <w:top w:val="single" w:sz="4" w:space="0" w:color="BFBFBF"/>
              <w:left w:val="single" w:sz="4" w:space="0" w:color="auto"/>
              <w:bottom w:val="nil"/>
              <w:right w:val="single" w:sz="4" w:space="0" w:color="auto"/>
            </w:tcBorders>
            <w:shd w:val="clear" w:color="auto" w:fill="auto"/>
            <w:vAlign w:val="center"/>
            <w:hideMark/>
          </w:tcPr>
          <w:p w:rsidR="00830EC6" w:rsidRPr="00830EC6" w:rsidRDefault="00830EC6" w:rsidP="00830EC6">
            <w:pPr>
              <w:rPr>
                <w:color w:val="000000"/>
                <w:sz w:val="18"/>
                <w:szCs w:val="22"/>
              </w:rPr>
            </w:pPr>
            <w:r w:rsidRPr="00830EC6">
              <w:rPr>
                <w:color w:val="000000"/>
                <w:sz w:val="18"/>
                <w:szCs w:val="22"/>
              </w:rPr>
              <w:t>2 year Survival Probability</w:t>
            </w:r>
          </w:p>
        </w:tc>
        <w:tc>
          <w:tcPr>
            <w:tcW w:w="1226" w:type="dxa"/>
            <w:tcBorders>
              <w:top w:val="single" w:sz="4" w:space="0" w:color="BFBFBF"/>
              <w:left w:val="nil"/>
              <w:bottom w:val="nil"/>
              <w:right w:val="nil"/>
            </w:tcBorders>
            <w:shd w:val="clear" w:color="auto" w:fill="auto"/>
            <w:noWrap/>
            <w:vAlign w:val="center"/>
            <w:hideMark/>
          </w:tcPr>
          <w:p w:rsidR="00830EC6" w:rsidRPr="004947D0" w:rsidRDefault="00830EC6" w:rsidP="00830EC6">
            <w:pPr>
              <w:jc w:val="center"/>
              <w:rPr>
                <w:color w:val="000000"/>
                <w:sz w:val="18"/>
                <w:szCs w:val="22"/>
                <w:highlight w:val="yellow"/>
              </w:rPr>
            </w:pPr>
            <w:r w:rsidRPr="004947D0">
              <w:rPr>
                <w:color w:val="000000"/>
                <w:sz w:val="18"/>
                <w:szCs w:val="22"/>
                <w:highlight w:val="yellow"/>
              </w:rPr>
              <w:t>99.3%</w:t>
            </w:r>
          </w:p>
        </w:tc>
        <w:tc>
          <w:tcPr>
            <w:tcW w:w="1251" w:type="dxa"/>
            <w:tcBorders>
              <w:top w:val="single" w:sz="4" w:space="0" w:color="BFBFBF"/>
              <w:left w:val="nil"/>
              <w:bottom w:val="nil"/>
              <w:right w:val="nil"/>
            </w:tcBorders>
            <w:shd w:val="clear" w:color="auto" w:fill="auto"/>
            <w:noWrap/>
            <w:vAlign w:val="center"/>
            <w:hideMark/>
          </w:tcPr>
          <w:p w:rsidR="00830EC6" w:rsidRPr="004947D0" w:rsidRDefault="00830EC6" w:rsidP="00830EC6">
            <w:pPr>
              <w:jc w:val="center"/>
              <w:rPr>
                <w:color w:val="000000"/>
                <w:sz w:val="18"/>
                <w:szCs w:val="22"/>
                <w:highlight w:val="yellow"/>
              </w:rPr>
            </w:pPr>
            <w:r w:rsidRPr="004947D0">
              <w:rPr>
                <w:color w:val="000000"/>
                <w:sz w:val="18"/>
                <w:szCs w:val="22"/>
                <w:highlight w:val="yellow"/>
              </w:rPr>
              <w:t>97.2%</w:t>
            </w:r>
          </w:p>
        </w:tc>
        <w:tc>
          <w:tcPr>
            <w:tcW w:w="1251" w:type="dxa"/>
            <w:tcBorders>
              <w:top w:val="single" w:sz="4" w:space="0" w:color="BFBFBF"/>
              <w:left w:val="nil"/>
              <w:bottom w:val="nil"/>
              <w:right w:val="nil"/>
            </w:tcBorders>
            <w:shd w:val="clear" w:color="auto" w:fill="auto"/>
            <w:noWrap/>
            <w:vAlign w:val="center"/>
            <w:hideMark/>
          </w:tcPr>
          <w:p w:rsidR="00830EC6" w:rsidRPr="004947D0" w:rsidRDefault="00830EC6" w:rsidP="00830EC6">
            <w:pPr>
              <w:jc w:val="center"/>
              <w:rPr>
                <w:color w:val="000000"/>
                <w:sz w:val="18"/>
                <w:szCs w:val="22"/>
                <w:highlight w:val="yellow"/>
              </w:rPr>
            </w:pPr>
            <w:r w:rsidRPr="004947D0">
              <w:rPr>
                <w:color w:val="000000"/>
                <w:sz w:val="18"/>
                <w:szCs w:val="22"/>
                <w:highlight w:val="yellow"/>
              </w:rPr>
              <w:t>91.0%</w:t>
            </w:r>
          </w:p>
        </w:tc>
        <w:tc>
          <w:tcPr>
            <w:tcW w:w="1397" w:type="dxa"/>
            <w:tcBorders>
              <w:top w:val="single" w:sz="4" w:space="0" w:color="BFBFBF"/>
              <w:left w:val="nil"/>
              <w:bottom w:val="nil"/>
              <w:right w:val="single" w:sz="4" w:space="0" w:color="auto"/>
            </w:tcBorders>
            <w:shd w:val="clear" w:color="auto" w:fill="auto"/>
            <w:noWrap/>
            <w:vAlign w:val="center"/>
            <w:hideMark/>
          </w:tcPr>
          <w:p w:rsidR="00830EC6" w:rsidRPr="004947D0" w:rsidRDefault="00830EC6" w:rsidP="00830EC6">
            <w:pPr>
              <w:jc w:val="center"/>
              <w:rPr>
                <w:color w:val="000000"/>
                <w:sz w:val="18"/>
                <w:szCs w:val="22"/>
                <w:highlight w:val="yellow"/>
              </w:rPr>
            </w:pPr>
            <w:r w:rsidRPr="004947D0">
              <w:rPr>
                <w:color w:val="000000"/>
                <w:sz w:val="18"/>
                <w:szCs w:val="22"/>
                <w:highlight w:val="yellow"/>
              </w:rPr>
              <w:t>79.1%</w:t>
            </w:r>
          </w:p>
        </w:tc>
        <w:tc>
          <w:tcPr>
            <w:tcW w:w="960" w:type="dxa"/>
            <w:tcBorders>
              <w:top w:val="single" w:sz="4" w:space="0" w:color="BFBFBF"/>
              <w:left w:val="nil"/>
              <w:bottom w:val="nil"/>
              <w:right w:val="single" w:sz="4" w:space="0" w:color="auto"/>
            </w:tcBorders>
            <w:shd w:val="clear" w:color="auto" w:fill="auto"/>
            <w:noWrap/>
            <w:vAlign w:val="center"/>
            <w:hideMark/>
          </w:tcPr>
          <w:p w:rsidR="00830EC6" w:rsidRPr="004947D0" w:rsidRDefault="00830EC6" w:rsidP="00830EC6">
            <w:pPr>
              <w:jc w:val="center"/>
              <w:rPr>
                <w:color w:val="000000"/>
                <w:sz w:val="18"/>
                <w:szCs w:val="22"/>
                <w:highlight w:val="yellow"/>
              </w:rPr>
            </w:pPr>
            <w:r w:rsidRPr="004947D0">
              <w:rPr>
                <w:color w:val="000000"/>
                <w:sz w:val="18"/>
                <w:szCs w:val="22"/>
                <w:highlight w:val="yellow"/>
              </w:rPr>
              <w:t>92.8%</w:t>
            </w:r>
          </w:p>
        </w:tc>
      </w:tr>
      <w:tr w:rsidR="00830EC6" w:rsidRPr="00830EC6" w:rsidTr="00803C89">
        <w:trPr>
          <w:trHeight w:val="461"/>
          <w:jc w:val="center"/>
        </w:trPr>
        <w:tc>
          <w:tcPr>
            <w:tcW w:w="1735" w:type="dxa"/>
            <w:tcBorders>
              <w:top w:val="nil"/>
              <w:left w:val="single" w:sz="4" w:space="0" w:color="auto"/>
              <w:bottom w:val="nil"/>
              <w:right w:val="single" w:sz="4" w:space="0" w:color="auto"/>
            </w:tcBorders>
            <w:shd w:val="clear" w:color="auto" w:fill="auto"/>
            <w:vAlign w:val="center"/>
            <w:hideMark/>
          </w:tcPr>
          <w:p w:rsidR="00830EC6" w:rsidRPr="00830EC6" w:rsidRDefault="00830EC6" w:rsidP="00830EC6">
            <w:pPr>
              <w:rPr>
                <w:color w:val="000000"/>
                <w:sz w:val="18"/>
                <w:szCs w:val="22"/>
              </w:rPr>
            </w:pPr>
            <w:r w:rsidRPr="00830EC6">
              <w:rPr>
                <w:color w:val="000000"/>
                <w:sz w:val="18"/>
                <w:szCs w:val="22"/>
              </w:rPr>
              <w:t>6 year Survival Probability</w:t>
            </w:r>
          </w:p>
        </w:tc>
        <w:tc>
          <w:tcPr>
            <w:tcW w:w="1226" w:type="dxa"/>
            <w:tcBorders>
              <w:top w:val="nil"/>
              <w:left w:val="nil"/>
              <w:bottom w:val="nil"/>
              <w:right w:val="nil"/>
            </w:tcBorders>
            <w:shd w:val="clear" w:color="auto" w:fill="auto"/>
            <w:noWrap/>
            <w:vAlign w:val="center"/>
            <w:hideMark/>
          </w:tcPr>
          <w:p w:rsidR="00830EC6" w:rsidRPr="004947D0" w:rsidRDefault="00830EC6" w:rsidP="00830EC6">
            <w:pPr>
              <w:jc w:val="center"/>
              <w:rPr>
                <w:color w:val="000000"/>
                <w:sz w:val="18"/>
                <w:szCs w:val="22"/>
                <w:highlight w:val="yellow"/>
              </w:rPr>
            </w:pPr>
            <w:r w:rsidRPr="004947D0">
              <w:rPr>
                <w:color w:val="000000"/>
                <w:sz w:val="18"/>
                <w:szCs w:val="22"/>
                <w:highlight w:val="yellow"/>
              </w:rPr>
              <w:t>90.0%</w:t>
            </w:r>
          </w:p>
        </w:tc>
        <w:tc>
          <w:tcPr>
            <w:tcW w:w="1251" w:type="dxa"/>
            <w:tcBorders>
              <w:top w:val="nil"/>
              <w:left w:val="nil"/>
              <w:bottom w:val="nil"/>
              <w:right w:val="nil"/>
            </w:tcBorders>
            <w:shd w:val="clear" w:color="auto" w:fill="auto"/>
            <w:noWrap/>
            <w:vAlign w:val="center"/>
            <w:hideMark/>
          </w:tcPr>
          <w:p w:rsidR="00830EC6" w:rsidRPr="004947D0" w:rsidRDefault="00830EC6" w:rsidP="00830EC6">
            <w:pPr>
              <w:jc w:val="center"/>
              <w:rPr>
                <w:color w:val="000000"/>
                <w:sz w:val="18"/>
                <w:szCs w:val="22"/>
                <w:highlight w:val="yellow"/>
              </w:rPr>
            </w:pPr>
            <w:r w:rsidRPr="004947D0">
              <w:rPr>
                <w:color w:val="000000"/>
                <w:sz w:val="18"/>
                <w:szCs w:val="22"/>
                <w:highlight w:val="yellow"/>
              </w:rPr>
              <w:t>79.2%</w:t>
            </w:r>
          </w:p>
        </w:tc>
        <w:tc>
          <w:tcPr>
            <w:tcW w:w="1251" w:type="dxa"/>
            <w:tcBorders>
              <w:top w:val="nil"/>
              <w:left w:val="nil"/>
              <w:bottom w:val="nil"/>
              <w:right w:val="nil"/>
            </w:tcBorders>
            <w:shd w:val="clear" w:color="auto" w:fill="auto"/>
            <w:noWrap/>
            <w:vAlign w:val="center"/>
            <w:hideMark/>
          </w:tcPr>
          <w:p w:rsidR="00830EC6" w:rsidRPr="004947D0" w:rsidRDefault="00830EC6" w:rsidP="00830EC6">
            <w:pPr>
              <w:jc w:val="center"/>
              <w:rPr>
                <w:color w:val="000000"/>
                <w:sz w:val="18"/>
                <w:szCs w:val="22"/>
                <w:highlight w:val="yellow"/>
              </w:rPr>
            </w:pPr>
            <w:r w:rsidRPr="004947D0">
              <w:rPr>
                <w:color w:val="000000"/>
                <w:sz w:val="18"/>
                <w:szCs w:val="22"/>
                <w:highlight w:val="yellow"/>
              </w:rPr>
              <w:t>50.0%</w:t>
            </w:r>
          </w:p>
        </w:tc>
        <w:tc>
          <w:tcPr>
            <w:tcW w:w="1397" w:type="dxa"/>
            <w:tcBorders>
              <w:top w:val="nil"/>
              <w:left w:val="nil"/>
              <w:bottom w:val="nil"/>
              <w:right w:val="single" w:sz="4" w:space="0" w:color="auto"/>
            </w:tcBorders>
            <w:shd w:val="clear" w:color="auto" w:fill="auto"/>
            <w:noWrap/>
            <w:vAlign w:val="center"/>
            <w:hideMark/>
          </w:tcPr>
          <w:p w:rsidR="00830EC6" w:rsidRPr="004947D0" w:rsidRDefault="00830EC6" w:rsidP="00830EC6">
            <w:pPr>
              <w:jc w:val="center"/>
              <w:rPr>
                <w:color w:val="000000"/>
                <w:sz w:val="18"/>
                <w:szCs w:val="22"/>
                <w:highlight w:val="yellow"/>
              </w:rPr>
            </w:pPr>
            <w:r w:rsidRPr="004947D0">
              <w:rPr>
                <w:color w:val="000000"/>
                <w:sz w:val="18"/>
                <w:szCs w:val="22"/>
                <w:highlight w:val="yellow"/>
              </w:rPr>
              <w:t>24.8%</w:t>
            </w:r>
          </w:p>
        </w:tc>
        <w:tc>
          <w:tcPr>
            <w:tcW w:w="960" w:type="dxa"/>
            <w:tcBorders>
              <w:top w:val="nil"/>
              <w:left w:val="nil"/>
              <w:bottom w:val="nil"/>
              <w:right w:val="single" w:sz="4" w:space="0" w:color="auto"/>
            </w:tcBorders>
            <w:shd w:val="clear" w:color="auto" w:fill="auto"/>
            <w:noWrap/>
            <w:vAlign w:val="center"/>
            <w:hideMark/>
          </w:tcPr>
          <w:p w:rsidR="00830EC6" w:rsidRPr="004947D0" w:rsidRDefault="00830EC6" w:rsidP="00830EC6">
            <w:pPr>
              <w:jc w:val="center"/>
              <w:rPr>
                <w:color w:val="000000"/>
                <w:sz w:val="18"/>
                <w:szCs w:val="22"/>
                <w:highlight w:val="yellow"/>
              </w:rPr>
            </w:pPr>
            <w:r w:rsidRPr="004947D0">
              <w:rPr>
                <w:color w:val="000000"/>
                <w:sz w:val="18"/>
                <w:szCs w:val="22"/>
                <w:highlight w:val="yellow"/>
              </w:rPr>
              <w:t>66.4%</w:t>
            </w:r>
          </w:p>
        </w:tc>
      </w:tr>
      <w:tr w:rsidR="00B05C27" w:rsidRPr="00830EC6" w:rsidTr="00B05C27">
        <w:trPr>
          <w:trHeight w:val="461"/>
          <w:jc w:val="center"/>
        </w:trPr>
        <w:tc>
          <w:tcPr>
            <w:tcW w:w="1735" w:type="dxa"/>
            <w:tcBorders>
              <w:top w:val="nil"/>
              <w:left w:val="single" w:sz="4" w:space="0" w:color="auto"/>
              <w:bottom w:val="single" w:sz="4" w:space="0" w:color="BFBFBF"/>
              <w:right w:val="single" w:sz="4" w:space="0" w:color="auto"/>
            </w:tcBorders>
            <w:shd w:val="clear" w:color="auto" w:fill="auto"/>
            <w:vAlign w:val="center"/>
            <w:hideMark/>
          </w:tcPr>
          <w:p w:rsidR="00830EC6" w:rsidRPr="00830EC6" w:rsidRDefault="00830EC6" w:rsidP="00830EC6">
            <w:pPr>
              <w:rPr>
                <w:color w:val="000000"/>
                <w:sz w:val="18"/>
                <w:szCs w:val="22"/>
              </w:rPr>
            </w:pPr>
            <w:r w:rsidRPr="00830EC6">
              <w:rPr>
                <w:color w:val="000000"/>
                <w:sz w:val="18"/>
                <w:szCs w:val="22"/>
              </w:rPr>
              <w:t>12 year Survival Probability</w:t>
            </w:r>
          </w:p>
        </w:tc>
        <w:tc>
          <w:tcPr>
            <w:tcW w:w="1226" w:type="dxa"/>
            <w:tcBorders>
              <w:top w:val="nil"/>
              <w:left w:val="nil"/>
              <w:bottom w:val="single" w:sz="4" w:space="0" w:color="BFBFBF"/>
              <w:right w:val="nil"/>
            </w:tcBorders>
            <w:shd w:val="clear" w:color="auto" w:fill="auto"/>
            <w:noWrap/>
            <w:vAlign w:val="center"/>
            <w:hideMark/>
          </w:tcPr>
          <w:p w:rsidR="00830EC6" w:rsidRPr="004947D0" w:rsidRDefault="00830EC6" w:rsidP="00830EC6">
            <w:pPr>
              <w:jc w:val="center"/>
              <w:rPr>
                <w:color w:val="000000"/>
                <w:sz w:val="18"/>
                <w:szCs w:val="22"/>
                <w:highlight w:val="yellow"/>
              </w:rPr>
            </w:pPr>
            <w:commentRangeStart w:id="10"/>
            <w:r w:rsidRPr="004947D0">
              <w:rPr>
                <w:color w:val="000000"/>
                <w:sz w:val="18"/>
                <w:szCs w:val="22"/>
                <w:highlight w:val="yellow"/>
              </w:rPr>
              <w:t>70.9%</w:t>
            </w:r>
          </w:p>
        </w:tc>
        <w:tc>
          <w:tcPr>
            <w:tcW w:w="1251" w:type="dxa"/>
            <w:tcBorders>
              <w:top w:val="nil"/>
              <w:left w:val="nil"/>
              <w:bottom w:val="single" w:sz="4" w:space="0" w:color="BFBFBF"/>
              <w:right w:val="nil"/>
            </w:tcBorders>
            <w:shd w:val="clear" w:color="auto" w:fill="auto"/>
            <w:noWrap/>
            <w:vAlign w:val="center"/>
            <w:hideMark/>
          </w:tcPr>
          <w:p w:rsidR="00830EC6" w:rsidRPr="004947D0" w:rsidRDefault="00830EC6" w:rsidP="00830EC6">
            <w:pPr>
              <w:jc w:val="center"/>
              <w:rPr>
                <w:color w:val="000000"/>
                <w:sz w:val="18"/>
                <w:szCs w:val="22"/>
                <w:highlight w:val="yellow"/>
              </w:rPr>
            </w:pPr>
            <w:r w:rsidRPr="004947D0">
              <w:rPr>
                <w:color w:val="000000"/>
                <w:sz w:val="18"/>
                <w:szCs w:val="22"/>
                <w:highlight w:val="yellow"/>
              </w:rPr>
              <w:t>44.9%</w:t>
            </w:r>
          </w:p>
        </w:tc>
        <w:tc>
          <w:tcPr>
            <w:tcW w:w="1251" w:type="dxa"/>
            <w:tcBorders>
              <w:top w:val="nil"/>
              <w:left w:val="nil"/>
              <w:bottom w:val="single" w:sz="4" w:space="0" w:color="BFBFBF"/>
              <w:right w:val="nil"/>
            </w:tcBorders>
            <w:shd w:val="clear" w:color="auto" w:fill="auto"/>
            <w:noWrap/>
            <w:vAlign w:val="center"/>
            <w:hideMark/>
          </w:tcPr>
          <w:p w:rsidR="00830EC6" w:rsidRPr="004947D0" w:rsidRDefault="00830EC6" w:rsidP="00830EC6">
            <w:pPr>
              <w:jc w:val="center"/>
              <w:rPr>
                <w:color w:val="000000"/>
                <w:sz w:val="18"/>
                <w:szCs w:val="22"/>
                <w:highlight w:val="yellow"/>
              </w:rPr>
            </w:pPr>
            <w:r w:rsidRPr="004947D0">
              <w:rPr>
                <w:color w:val="000000"/>
                <w:sz w:val="18"/>
                <w:szCs w:val="22"/>
                <w:highlight w:val="yellow"/>
              </w:rPr>
              <w:t>4.8%</w:t>
            </w:r>
          </w:p>
        </w:tc>
        <w:tc>
          <w:tcPr>
            <w:tcW w:w="1397" w:type="dxa"/>
            <w:tcBorders>
              <w:top w:val="nil"/>
              <w:left w:val="nil"/>
              <w:bottom w:val="single" w:sz="4" w:space="0" w:color="BFBFBF"/>
              <w:right w:val="single" w:sz="4" w:space="0" w:color="auto"/>
            </w:tcBorders>
            <w:shd w:val="clear" w:color="auto" w:fill="auto"/>
            <w:noWrap/>
            <w:vAlign w:val="center"/>
            <w:hideMark/>
          </w:tcPr>
          <w:p w:rsidR="00830EC6" w:rsidRPr="004947D0" w:rsidRDefault="00830EC6" w:rsidP="00830EC6">
            <w:pPr>
              <w:jc w:val="center"/>
              <w:rPr>
                <w:color w:val="000000"/>
                <w:sz w:val="18"/>
                <w:szCs w:val="22"/>
                <w:highlight w:val="yellow"/>
              </w:rPr>
            </w:pPr>
            <w:r w:rsidRPr="004947D0">
              <w:rPr>
                <w:color w:val="000000"/>
                <w:sz w:val="18"/>
                <w:szCs w:val="22"/>
                <w:highlight w:val="yellow"/>
              </w:rPr>
              <w:t>0.0%</w:t>
            </w:r>
            <w:commentRangeEnd w:id="10"/>
            <w:r w:rsidR="004947D0" w:rsidRPr="004947D0">
              <w:rPr>
                <w:rStyle w:val="CommentReference"/>
                <w:highlight w:val="yellow"/>
              </w:rPr>
              <w:commentReference w:id="10"/>
            </w:r>
          </w:p>
        </w:tc>
        <w:tc>
          <w:tcPr>
            <w:tcW w:w="960" w:type="dxa"/>
            <w:tcBorders>
              <w:top w:val="nil"/>
              <w:left w:val="nil"/>
              <w:bottom w:val="single" w:sz="4" w:space="0" w:color="BFBFBF"/>
              <w:right w:val="single" w:sz="4" w:space="0" w:color="auto"/>
            </w:tcBorders>
            <w:shd w:val="clear" w:color="auto" w:fill="auto"/>
            <w:noWrap/>
            <w:vAlign w:val="center"/>
            <w:hideMark/>
          </w:tcPr>
          <w:p w:rsidR="00830EC6" w:rsidRPr="004947D0" w:rsidRDefault="00830EC6" w:rsidP="00830EC6">
            <w:pPr>
              <w:jc w:val="center"/>
              <w:rPr>
                <w:color w:val="000000"/>
                <w:sz w:val="18"/>
                <w:szCs w:val="22"/>
                <w:highlight w:val="yellow"/>
              </w:rPr>
            </w:pPr>
            <w:r w:rsidRPr="004947D0">
              <w:rPr>
                <w:color w:val="000000"/>
                <w:sz w:val="18"/>
                <w:szCs w:val="22"/>
                <w:highlight w:val="yellow"/>
              </w:rPr>
              <w:t>35.3%</w:t>
            </w:r>
          </w:p>
        </w:tc>
      </w:tr>
      <w:tr w:rsidR="00B05C27" w:rsidRPr="00830EC6" w:rsidTr="00B05C27">
        <w:trPr>
          <w:trHeight w:val="461"/>
          <w:jc w:val="center"/>
        </w:trPr>
        <w:tc>
          <w:tcPr>
            <w:tcW w:w="1735" w:type="dxa"/>
            <w:tcBorders>
              <w:top w:val="single" w:sz="4" w:space="0" w:color="BFBFBF"/>
              <w:left w:val="single" w:sz="4" w:space="0" w:color="auto"/>
              <w:bottom w:val="nil"/>
              <w:right w:val="single" w:sz="4" w:space="0" w:color="auto"/>
            </w:tcBorders>
            <w:shd w:val="clear" w:color="auto" w:fill="auto"/>
            <w:vAlign w:val="center"/>
            <w:hideMark/>
          </w:tcPr>
          <w:p w:rsidR="00830EC6" w:rsidRPr="00830EC6" w:rsidRDefault="00830EC6" w:rsidP="00830EC6">
            <w:pPr>
              <w:rPr>
                <w:color w:val="000000"/>
                <w:sz w:val="18"/>
                <w:szCs w:val="22"/>
              </w:rPr>
            </w:pPr>
            <w:r w:rsidRPr="00830EC6">
              <w:rPr>
                <w:color w:val="000000"/>
                <w:sz w:val="18"/>
                <w:szCs w:val="22"/>
              </w:rPr>
              <w:t>25th percentile of Survival</w:t>
            </w:r>
          </w:p>
        </w:tc>
        <w:tc>
          <w:tcPr>
            <w:tcW w:w="1226" w:type="dxa"/>
            <w:tcBorders>
              <w:top w:val="single" w:sz="4" w:space="0" w:color="BFBFBF"/>
              <w:left w:val="nil"/>
              <w:bottom w:val="nil"/>
              <w:right w:val="nil"/>
            </w:tcBorders>
            <w:shd w:val="clear" w:color="auto" w:fill="auto"/>
            <w:noWrap/>
            <w:vAlign w:val="center"/>
            <w:hideMark/>
          </w:tcPr>
          <w:p w:rsidR="00830EC6" w:rsidRPr="00830EC6" w:rsidRDefault="00830EC6" w:rsidP="00830EC6">
            <w:pPr>
              <w:jc w:val="center"/>
              <w:rPr>
                <w:color w:val="000000"/>
                <w:sz w:val="18"/>
                <w:szCs w:val="22"/>
              </w:rPr>
            </w:pPr>
            <w:r w:rsidRPr="00830EC6">
              <w:rPr>
                <w:color w:val="000000"/>
                <w:sz w:val="18"/>
                <w:szCs w:val="22"/>
              </w:rPr>
              <w:t>10.55 y</w:t>
            </w:r>
          </w:p>
        </w:tc>
        <w:tc>
          <w:tcPr>
            <w:tcW w:w="1251" w:type="dxa"/>
            <w:tcBorders>
              <w:top w:val="single" w:sz="4" w:space="0" w:color="BFBFBF"/>
              <w:left w:val="nil"/>
              <w:bottom w:val="nil"/>
              <w:right w:val="nil"/>
            </w:tcBorders>
            <w:shd w:val="clear" w:color="auto" w:fill="auto"/>
            <w:noWrap/>
            <w:vAlign w:val="center"/>
            <w:hideMark/>
          </w:tcPr>
          <w:p w:rsidR="00830EC6" w:rsidRPr="00830EC6" w:rsidRDefault="00830EC6" w:rsidP="00830EC6">
            <w:pPr>
              <w:jc w:val="center"/>
              <w:rPr>
                <w:color w:val="000000"/>
                <w:sz w:val="18"/>
                <w:szCs w:val="22"/>
              </w:rPr>
            </w:pPr>
            <w:r w:rsidRPr="00830EC6">
              <w:rPr>
                <w:color w:val="000000"/>
                <w:sz w:val="18"/>
                <w:szCs w:val="22"/>
              </w:rPr>
              <w:t xml:space="preserve">7.11 y </w:t>
            </w:r>
          </w:p>
        </w:tc>
        <w:tc>
          <w:tcPr>
            <w:tcW w:w="1251" w:type="dxa"/>
            <w:tcBorders>
              <w:top w:val="single" w:sz="4" w:space="0" w:color="BFBFBF"/>
              <w:left w:val="nil"/>
              <w:bottom w:val="nil"/>
              <w:right w:val="nil"/>
            </w:tcBorders>
            <w:shd w:val="clear" w:color="auto" w:fill="auto"/>
            <w:noWrap/>
            <w:vAlign w:val="center"/>
            <w:hideMark/>
          </w:tcPr>
          <w:p w:rsidR="00830EC6" w:rsidRPr="00830EC6" w:rsidRDefault="00830EC6" w:rsidP="00830EC6">
            <w:pPr>
              <w:jc w:val="center"/>
              <w:rPr>
                <w:color w:val="000000"/>
                <w:sz w:val="18"/>
                <w:szCs w:val="22"/>
              </w:rPr>
            </w:pPr>
            <w:r w:rsidRPr="00830EC6">
              <w:rPr>
                <w:color w:val="000000"/>
                <w:sz w:val="18"/>
                <w:szCs w:val="22"/>
              </w:rPr>
              <w:t>2.74 y</w:t>
            </w:r>
          </w:p>
        </w:tc>
        <w:tc>
          <w:tcPr>
            <w:tcW w:w="1397" w:type="dxa"/>
            <w:tcBorders>
              <w:top w:val="single" w:sz="4" w:space="0" w:color="BFBFBF"/>
              <w:left w:val="nil"/>
              <w:bottom w:val="nil"/>
              <w:right w:val="single" w:sz="4" w:space="0" w:color="auto"/>
            </w:tcBorders>
            <w:shd w:val="clear" w:color="auto" w:fill="auto"/>
            <w:noWrap/>
            <w:vAlign w:val="center"/>
            <w:hideMark/>
          </w:tcPr>
          <w:p w:rsidR="00830EC6" w:rsidRPr="00830EC6" w:rsidRDefault="00830EC6" w:rsidP="00830EC6">
            <w:pPr>
              <w:jc w:val="center"/>
              <w:rPr>
                <w:color w:val="000000"/>
                <w:sz w:val="18"/>
                <w:szCs w:val="22"/>
              </w:rPr>
            </w:pPr>
            <w:r w:rsidRPr="00830EC6">
              <w:rPr>
                <w:color w:val="000000"/>
                <w:sz w:val="18"/>
                <w:szCs w:val="22"/>
              </w:rPr>
              <w:t>1.34 y</w:t>
            </w:r>
          </w:p>
        </w:tc>
        <w:tc>
          <w:tcPr>
            <w:tcW w:w="960" w:type="dxa"/>
            <w:tcBorders>
              <w:top w:val="single" w:sz="4" w:space="0" w:color="BFBFBF"/>
              <w:left w:val="nil"/>
              <w:bottom w:val="nil"/>
              <w:right w:val="single" w:sz="4" w:space="0" w:color="auto"/>
            </w:tcBorders>
            <w:shd w:val="clear" w:color="auto" w:fill="auto"/>
            <w:noWrap/>
            <w:vAlign w:val="center"/>
            <w:hideMark/>
          </w:tcPr>
          <w:p w:rsidR="00830EC6" w:rsidRPr="00830EC6" w:rsidRDefault="00830EC6" w:rsidP="00830EC6">
            <w:pPr>
              <w:jc w:val="center"/>
              <w:rPr>
                <w:color w:val="000000"/>
                <w:sz w:val="18"/>
                <w:szCs w:val="22"/>
              </w:rPr>
            </w:pPr>
            <w:r w:rsidRPr="00830EC6">
              <w:rPr>
                <w:color w:val="000000"/>
                <w:sz w:val="18"/>
                <w:szCs w:val="22"/>
              </w:rPr>
              <w:t>4.00 y</w:t>
            </w:r>
          </w:p>
        </w:tc>
      </w:tr>
      <w:tr w:rsidR="00B05C27" w:rsidRPr="00830EC6" w:rsidTr="00B05C27">
        <w:trPr>
          <w:trHeight w:val="360"/>
          <w:jc w:val="center"/>
        </w:trPr>
        <w:tc>
          <w:tcPr>
            <w:tcW w:w="1735" w:type="dxa"/>
            <w:tcBorders>
              <w:top w:val="nil"/>
              <w:left w:val="single" w:sz="4" w:space="0" w:color="auto"/>
              <w:bottom w:val="single" w:sz="4" w:space="0" w:color="BFBFBF"/>
              <w:right w:val="single" w:sz="4" w:space="0" w:color="auto"/>
            </w:tcBorders>
            <w:shd w:val="clear" w:color="auto" w:fill="auto"/>
            <w:vAlign w:val="center"/>
            <w:hideMark/>
          </w:tcPr>
          <w:p w:rsidR="00830EC6" w:rsidRPr="00830EC6" w:rsidRDefault="00830EC6" w:rsidP="00830EC6">
            <w:pPr>
              <w:rPr>
                <w:color w:val="000000"/>
                <w:sz w:val="18"/>
                <w:szCs w:val="22"/>
              </w:rPr>
            </w:pPr>
            <w:r w:rsidRPr="00830EC6">
              <w:rPr>
                <w:color w:val="000000"/>
                <w:sz w:val="18"/>
                <w:szCs w:val="22"/>
              </w:rPr>
              <w:t>Median Survival</w:t>
            </w:r>
          </w:p>
        </w:tc>
        <w:tc>
          <w:tcPr>
            <w:tcW w:w="1226" w:type="dxa"/>
            <w:tcBorders>
              <w:top w:val="nil"/>
              <w:left w:val="nil"/>
              <w:bottom w:val="single" w:sz="4" w:space="0" w:color="BFBFBF"/>
              <w:right w:val="nil"/>
            </w:tcBorders>
            <w:shd w:val="clear" w:color="auto" w:fill="auto"/>
            <w:noWrap/>
            <w:vAlign w:val="center"/>
            <w:hideMark/>
          </w:tcPr>
          <w:p w:rsidR="00830EC6" w:rsidRPr="00830EC6" w:rsidRDefault="00830EC6" w:rsidP="00830EC6">
            <w:pPr>
              <w:jc w:val="center"/>
              <w:rPr>
                <w:color w:val="000000"/>
                <w:sz w:val="18"/>
                <w:szCs w:val="22"/>
              </w:rPr>
            </w:pPr>
            <w:r w:rsidRPr="00830EC6">
              <w:rPr>
                <w:color w:val="000000"/>
                <w:sz w:val="18"/>
                <w:szCs w:val="22"/>
              </w:rPr>
              <w:t>--</w:t>
            </w:r>
          </w:p>
        </w:tc>
        <w:tc>
          <w:tcPr>
            <w:tcW w:w="1251" w:type="dxa"/>
            <w:tcBorders>
              <w:top w:val="nil"/>
              <w:left w:val="nil"/>
              <w:bottom w:val="single" w:sz="4" w:space="0" w:color="BFBFBF"/>
              <w:right w:val="nil"/>
            </w:tcBorders>
            <w:shd w:val="clear" w:color="auto" w:fill="auto"/>
            <w:noWrap/>
            <w:vAlign w:val="center"/>
            <w:hideMark/>
          </w:tcPr>
          <w:p w:rsidR="00830EC6" w:rsidRPr="00830EC6" w:rsidRDefault="00830EC6" w:rsidP="00830EC6">
            <w:pPr>
              <w:jc w:val="center"/>
              <w:rPr>
                <w:color w:val="000000"/>
                <w:sz w:val="18"/>
                <w:szCs w:val="22"/>
              </w:rPr>
            </w:pPr>
            <w:r w:rsidRPr="00830EC6">
              <w:rPr>
                <w:color w:val="000000"/>
                <w:sz w:val="18"/>
                <w:szCs w:val="22"/>
              </w:rPr>
              <w:t>11.47 y</w:t>
            </w:r>
          </w:p>
        </w:tc>
        <w:tc>
          <w:tcPr>
            <w:tcW w:w="1251" w:type="dxa"/>
            <w:tcBorders>
              <w:top w:val="nil"/>
              <w:left w:val="nil"/>
              <w:bottom w:val="single" w:sz="4" w:space="0" w:color="BFBFBF"/>
              <w:right w:val="nil"/>
            </w:tcBorders>
            <w:shd w:val="clear" w:color="auto" w:fill="auto"/>
            <w:noWrap/>
            <w:vAlign w:val="center"/>
            <w:hideMark/>
          </w:tcPr>
          <w:p w:rsidR="00830EC6" w:rsidRPr="00830EC6" w:rsidRDefault="00830EC6" w:rsidP="00830EC6">
            <w:pPr>
              <w:jc w:val="center"/>
              <w:rPr>
                <w:color w:val="000000"/>
                <w:sz w:val="18"/>
                <w:szCs w:val="22"/>
              </w:rPr>
            </w:pPr>
            <w:r w:rsidRPr="00830EC6">
              <w:rPr>
                <w:color w:val="000000"/>
                <w:sz w:val="18"/>
                <w:szCs w:val="22"/>
              </w:rPr>
              <w:t>5.70 y</w:t>
            </w:r>
          </w:p>
        </w:tc>
        <w:tc>
          <w:tcPr>
            <w:tcW w:w="1397" w:type="dxa"/>
            <w:tcBorders>
              <w:top w:val="nil"/>
              <w:left w:val="nil"/>
              <w:bottom w:val="single" w:sz="4" w:space="0" w:color="BFBFBF"/>
              <w:right w:val="single" w:sz="4" w:space="0" w:color="auto"/>
            </w:tcBorders>
            <w:shd w:val="clear" w:color="auto" w:fill="auto"/>
            <w:noWrap/>
            <w:vAlign w:val="center"/>
            <w:hideMark/>
          </w:tcPr>
          <w:p w:rsidR="00830EC6" w:rsidRPr="00830EC6" w:rsidRDefault="00830EC6" w:rsidP="00830EC6">
            <w:pPr>
              <w:jc w:val="center"/>
              <w:rPr>
                <w:color w:val="000000"/>
                <w:sz w:val="18"/>
                <w:szCs w:val="22"/>
              </w:rPr>
            </w:pPr>
            <w:r w:rsidRPr="00830EC6">
              <w:rPr>
                <w:color w:val="000000"/>
                <w:sz w:val="18"/>
                <w:szCs w:val="22"/>
              </w:rPr>
              <w:t>2.95 y</w:t>
            </w:r>
          </w:p>
        </w:tc>
        <w:tc>
          <w:tcPr>
            <w:tcW w:w="960" w:type="dxa"/>
            <w:tcBorders>
              <w:top w:val="nil"/>
              <w:left w:val="nil"/>
              <w:bottom w:val="single" w:sz="4" w:space="0" w:color="BFBFBF"/>
              <w:right w:val="single" w:sz="4" w:space="0" w:color="auto"/>
            </w:tcBorders>
            <w:shd w:val="clear" w:color="auto" w:fill="auto"/>
            <w:noWrap/>
            <w:vAlign w:val="center"/>
            <w:hideMark/>
          </w:tcPr>
          <w:p w:rsidR="00830EC6" w:rsidRPr="00830EC6" w:rsidRDefault="00830EC6" w:rsidP="00830EC6">
            <w:pPr>
              <w:jc w:val="center"/>
              <w:rPr>
                <w:color w:val="000000"/>
                <w:sz w:val="18"/>
                <w:szCs w:val="22"/>
              </w:rPr>
            </w:pPr>
            <w:r w:rsidRPr="00830EC6">
              <w:rPr>
                <w:color w:val="000000"/>
                <w:sz w:val="18"/>
                <w:szCs w:val="22"/>
              </w:rPr>
              <w:t>9.30 y</w:t>
            </w:r>
          </w:p>
        </w:tc>
      </w:tr>
      <w:tr w:rsidR="00B05C27" w:rsidRPr="00830EC6" w:rsidTr="00B05C27">
        <w:trPr>
          <w:trHeight w:val="691"/>
          <w:jc w:val="center"/>
        </w:trPr>
        <w:tc>
          <w:tcPr>
            <w:tcW w:w="1735" w:type="dxa"/>
            <w:tcBorders>
              <w:top w:val="single" w:sz="4" w:space="0" w:color="BFBFBF"/>
              <w:left w:val="single" w:sz="4" w:space="0" w:color="auto"/>
              <w:bottom w:val="single" w:sz="4" w:space="0" w:color="auto"/>
              <w:right w:val="single" w:sz="4" w:space="0" w:color="auto"/>
            </w:tcBorders>
            <w:shd w:val="clear" w:color="auto" w:fill="auto"/>
            <w:vAlign w:val="center"/>
            <w:hideMark/>
          </w:tcPr>
          <w:p w:rsidR="00830EC6" w:rsidRPr="00830EC6" w:rsidRDefault="00830EC6" w:rsidP="00830EC6">
            <w:pPr>
              <w:rPr>
                <w:color w:val="000000"/>
                <w:sz w:val="18"/>
                <w:szCs w:val="22"/>
              </w:rPr>
            </w:pPr>
            <w:r w:rsidRPr="00830EC6">
              <w:rPr>
                <w:color w:val="000000"/>
                <w:sz w:val="18"/>
                <w:szCs w:val="22"/>
              </w:rPr>
              <w:t>11.45 Years Restricted Mean of Survival</w:t>
            </w:r>
            <w:r w:rsidRPr="00830EC6">
              <w:rPr>
                <w:color w:val="000000"/>
                <w:sz w:val="18"/>
                <w:szCs w:val="22"/>
                <w:vertAlign w:val="superscript"/>
              </w:rPr>
              <w:t xml:space="preserve"> 1</w:t>
            </w:r>
          </w:p>
        </w:tc>
        <w:tc>
          <w:tcPr>
            <w:tcW w:w="1226" w:type="dxa"/>
            <w:tcBorders>
              <w:top w:val="single" w:sz="4" w:space="0" w:color="BFBFBF"/>
              <w:left w:val="nil"/>
              <w:bottom w:val="single" w:sz="4" w:space="0" w:color="auto"/>
              <w:right w:val="nil"/>
            </w:tcBorders>
            <w:shd w:val="clear" w:color="auto" w:fill="auto"/>
            <w:noWrap/>
            <w:vAlign w:val="center"/>
            <w:hideMark/>
          </w:tcPr>
          <w:p w:rsidR="00830EC6" w:rsidRPr="00830EC6" w:rsidRDefault="00830EC6" w:rsidP="00830EC6">
            <w:pPr>
              <w:jc w:val="center"/>
              <w:rPr>
                <w:color w:val="000000"/>
                <w:sz w:val="18"/>
                <w:szCs w:val="22"/>
              </w:rPr>
            </w:pPr>
            <w:r w:rsidRPr="00830EC6">
              <w:rPr>
                <w:color w:val="000000"/>
                <w:sz w:val="18"/>
                <w:szCs w:val="22"/>
              </w:rPr>
              <w:t>10.16 y</w:t>
            </w:r>
          </w:p>
        </w:tc>
        <w:tc>
          <w:tcPr>
            <w:tcW w:w="1251" w:type="dxa"/>
            <w:tcBorders>
              <w:top w:val="single" w:sz="4" w:space="0" w:color="BFBFBF"/>
              <w:left w:val="nil"/>
              <w:bottom w:val="single" w:sz="4" w:space="0" w:color="auto"/>
              <w:right w:val="nil"/>
            </w:tcBorders>
            <w:shd w:val="clear" w:color="auto" w:fill="auto"/>
            <w:noWrap/>
            <w:vAlign w:val="center"/>
            <w:hideMark/>
          </w:tcPr>
          <w:p w:rsidR="00830EC6" w:rsidRPr="00830EC6" w:rsidRDefault="00830EC6" w:rsidP="00830EC6">
            <w:pPr>
              <w:jc w:val="center"/>
              <w:rPr>
                <w:color w:val="000000"/>
                <w:sz w:val="18"/>
                <w:szCs w:val="22"/>
              </w:rPr>
            </w:pPr>
            <w:r w:rsidRPr="00830EC6">
              <w:rPr>
                <w:color w:val="000000"/>
                <w:sz w:val="18"/>
                <w:szCs w:val="22"/>
              </w:rPr>
              <w:t>8.85 y</w:t>
            </w:r>
          </w:p>
        </w:tc>
        <w:tc>
          <w:tcPr>
            <w:tcW w:w="1251" w:type="dxa"/>
            <w:tcBorders>
              <w:top w:val="single" w:sz="4" w:space="0" w:color="BFBFBF"/>
              <w:left w:val="nil"/>
              <w:bottom w:val="single" w:sz="4" w:space="0" w:color="auto"/>
              <w:right w:val="nil"/>
            </w:tcBorders>
            <w:shd w:val="clear" w:color="auto" w:fill="auto"/>
            <w:noWrap/>
            <w:vAlign w:val="center"/>
            <w:hideMark/>
          </w:tcPr>
          <w:p w:rsidR="00830EC6" w:rsidRPr="00830EC6" w:rsidRDefault="00830EC6" w:rsidP="00830EC6">
            <w:pPr>
              <w:jc w:val="center"/>
              <w:rPr>
                <w:color w:val="000000"/>
                <w:sz w:val="18"/>
                <w:szCs w:val="22"/>
              </w:rPr>
            </w:pPr>
            <w:r w:rsidRPr="00830EC6">
              <w:rPr>
                <w:color w:val="000000"/>
                <w:sz w:val="18"/>
                <w:szCs w:val="22"/>
              </w:rPr>
              <w:t>6.03 y</w:t>
            </w:r>
          </w:p>
        </w:tc>
        <w:tc>
          <w:tcPr>
            <w:tcW w:w="1397" w:type="dxa"/>
            <w:tcBorders>
              <w:top w:val="single" w:sz="4" w:space="0" w:color="BFBFBF"/>
              <w:left w:val="nil"/>
              <w:bottom w:val="single" w:sz="4" w:space="0" w:color="auto"/>
              <w:right w:val="single" w:sz="4" w:space="0" w:color="auto"/>
            </w:tcBorders>
            <w:shd w:val="clear" w:color="auto" w:fill="auto"/>
            <w:noWrap/>
            <w:vAlign w:val="center"/>
            <w:hideMark/>
          </w:tcPr>
          <w:p w:rsidR="00830EC6" w:rsidRPr="00830EC6" w:rsidRDefault="00830EC6" w:rsidP="00830EC6">
            <w:pPr>
              <w:jc w:val="center"/>
              <w:rPr>
                <w:color w:val="000000"/>
                <w:sz w:val="18"/>
                <w:szCs w:val="22"/>
              </w:rPr>
            </w:pPr>
            <w:r w:rsidRPr="00830EC6">
              <w:rPr>
                <w:color w:val="000000"/>
                <w:sz w:val="18"/>
                <w:szCs w:val="22"/>
              </w:rPr>
              <w:t xml:space="preserve">3.90 y </w:t>
            </w:r>
            <w:r w:rsidRPr="00830EC6">
              <w:rPr>
                <w:color w:val="000000"/>
                <w:sz w:val="18"/>
                <w:szCs w:val="22"/>
                <w:vertAlign w:val="superscript"/>
              </w:rPr>
              <w:t>2</w:t>
            </w:r>
          </w:p>
        </w:tc>
        <w:tc>
          <w:tcPr>
            <w:tcW w:w="960" w:type="dxa"/>
            <w:tcBorders>
              <w:top w:val="single" w:sz="4" w:space="0" w:color="BFBFBF"/>
              <w:left w:val="nil"/>
              <w:bottom w:val="single" w:sz="4" w:space="0" w:color="auto"/>
              <w:right w:val="single" w:sz="4" w:space="0" w:color="auto"/>
            </w:tcBorders>
            <w:shd w:val="clear" w:color="auto" w:fill="auto"/>
            <w:noWrap/>
            <w:vAlign w:val="center"/>
            <w:hideMark/>
          </w:tcPr>
          <w:p w:rsidR="00830EC6" w:rsidRPr="00830EC6" w:rsidRDefault="00830EC6" w:rsidP="00830EC6">
            <w:pPr>
              <w:jc w:val="center"/>
              <w:rPr>
                <w:color w:val="000000"/>
                <w:sz w:val="18"/>
                <w:szCs w:val="22"/>
              </w:rPr>
            </w:pPr>
            <w:r w:rsidRPr="00830EC6">
              <w:rPr>
                <w:color w:val="000000"/>
                <w:sz w:val="18"/>
                <w:szCs w:val="22"/>
              </w:rPr>
              <w:t>7.76 y</w:t>
            </w:r>
          </w:p>
        </w:tc>
      </w:tr>
      <w:tr w:rsidR="00830EC6" w:rsidRPr="00830EC6" w:rsidTr="00803C89">
        <w:trPr>
          <w:trHeight w:val="230"/>
          <w:jc w:val="center"/>
        </w:trPr>
        <w:tc>
          <w:tcPr>
            <w:tcW w:w="7820" w:type="dxa"/>
            <w:gridSpan w:val="6"/>
            <w:tcBorders>
              <w:top w:val="single" w:sz="4" w:space="0" w:color="auto"/>
              <w:left w:val="nil"/>
              <w:bottom w:val="nil"/>
              <w:right w:val="nil"/>
            </w:tcBorders>
            <w:shd w:val="clear" w:color="auto" w:fill="auto"/>
            <w:vAlign w:val="bottom"/>
            <w:hideMark/>
          </w:tcPr>
          <w:p w:rsidR="00830EC6" w:rsidRPr="00830EC6" w:rsidRDefault="00830EC6" w:rsidP="00830EC6">
            <w:pPr>
              <w:rPr>
                <w:color w:val="000000"/>
                <w:sz w:val="18"/>
                <w:szCs w:val="22"/>
              </w:rPr>
            </w:pPr>
            <w:r w:rsidRPr="00830EC6">
              <w:rPr>
                <w:color w:val="000000"/>
                <w:sz w:val="18"/>
                <w:szCs w:val="22"/>
              </w:rPr>
              <w:t>-- =  The median was not able to be estimated with the available data.</w:t>
            </w:r>
          </w:p>
        </w:tc>
      </w:tr>
      <w:tr w:rsidR="00830EC6" w:rsidRPr="00830EC6" w:rsidTr="00803C89">
        <w:trPr>
          <w:trHeight w:val="230"/>
          <w:jc w:val="center"/>
        </w:trPr>
        <w:tc>
          <w:tcPr>
            <w:tcW w:w="7820" w:type="dxa"/>
            <w:gridSpan w:val="6"/>
            <w:tcBorders>
              <w:top w:val="nil"/>
              <w:left w:val="nil"/>
              <w:bottom w:val="nil"/>
              <w:right w:val="nil"/>
            </w:tcBorders>
            <w:shd w:val="clear" w:color="auto" w:fill="auto"/>
            <w:vAlign w:val="bottom"/>
            <w:hideMark/>
          </w:tcPr>
          <w:p w:rsidR="00830EC6" w:rsidRPr="00830EC6" w:rsidRDefault="00830EC6" w:rsidP="00830EC6">
            <w:pPr>
              <w:rPr>
                <w:color w:val="000000"/>
                <w:sz w:val="18"/>
                <w:szCs w:val="22"/>
              </w:rPr>
            </w:pPr>
            <w:r w:rsidRPr="00830EC6">
              <w:rPr>
                <w:color w:val="000000"/>
                <w:sz w:val="18"/>
                <w:szCs w:val="22"/>
                <w:vertAlign w:val="superscript"/>
              </w:rPr>
              <w:t>1</w:t>
            </w:r>
            <w:r w:rsidRPr="00830EC6">
              <w:rPr>
                <w:color w:val="000000"/>
                <w:sz w:val="18"/>
                <w:szCs w:val="22"/>
              </w:rPr>
              <w:t xml:space="preserve"> Average number of years alive during the first 11.45 years.</w:t>
            </w:r>
          </w:p>
        </w:tc>
      </w:tr>
      <w:tr w:rsidR="00830EC6" w:rsidRPr="00830EC6" w:rsidTr="00803C89">
        <w:trPr>
          <w:trHeight w:val="230"/>
          <w:jc w:val="center"/>
        </w:trPr>
        <w:tc>
          <w:tcPr>
            <w:tcW w:w="7820" w:type="dxa"/>
            <w:gridSpan w:val="6"/>
            <w:tcBorders>
              <w:top w:val="nil"/>
              <w:left w:val="nil"/>
              <w:bottom w:val="nil"/>
              <w:right w:val="nil"/>
            </w:tcBorders>
            <w:shd w:val="clear" w:color="auto" w:fill="auto"/>
            <w:vAlign w:val="bottom"/>
            <w:hideMark/>
          </w:tcPr>
          <w:p w:rsidR="00830EC6" w:rsidRPr="00830EC6" w:rsidRDefault="00830EC6" w:rsidP="00830EC6">
            <w:pPr>
              <w:rPr>
                <w:color w:val="000000"/>
                <w:sz w:val="18"/>
                <w:szCs w:val="22"/>
              </w:rPr>
            </w:pPr>
            <w:r w:rsidRPr="00830EC6">
              <w:rPr>
                <w:color w:val="000000"/>
                <w:sz w:val="18"/>
                <w:szCs w:val="22"/>
                <w:vertAlign w:val="superscript"/>
              </w:rPr>
              <w:t>2</w:t>
            </w:r>
            <w:r w:rsidRPr="00830EC6">
              <w:rPr>
                <w:color w:val="000000"/>
                <w:sz w:val="18"/>
                <w:szCs w:val="22"/>
              </w:rPr>
              <w:t xml:space="preserve"> The last observation was a death, so this is an actual mean, not restricted mean.</w:t>
            </w:r>
          </w:p>
        </w:tc>
      </w:tr>
    </w:tbl>
    <w:p w:rsidR="00830EC6" w:rsidRDefault="00830EC6" w:rsidP="00583B7E">
      <w:pPr>
        <w:autoSpaceDE w:val="0"/>
        <w:autoSpaceDN w:val="0"/>
        <w:adjustRightInd w:val="0"/>
        <w:spacing w:after="120"/>
        <w:ind w:left="720"/>
        <w:rPr>
          <w:sz w:val="22"/>
          <w:szCs w:val="22"/>
        </w:rPr>
      </w:pPr>
    </w:p>
    <w:p w:rsidR="006767E3" w:rsidRDefault="00105EC3" w:rsidP="004A6759">
      <w:pPr>
        <w:autoSpaceDE w:val="0"/>
        <w:autoSpaceDN w:val="0"/>
        <w:adjustRightInd w:val="0"/>
        <w:spacing w:after="120"/>
        <w:ind w:left="720"/>
        <w:jc w:val="center"/>
        <w:rPr>
          <w:sz w:val="22"/>
          <w:szCs w:val="22"/>
        </w:rPr>
      </w:pPr>
      <w:r>
        <w:rPr>
          <w:noProof/>
        </w:rPr>
        <w:drawing>
          <wp:anchor distT="0" distB="0" distL="114300" distR="114300" simplePos="0" relativeHeight="251657728" behindDoc="0" locked="0" layoutInCell="1" allowOverlap="1">
            <wp:simplePos x="0" y="0"/>
            <wp:positionH relativeFrom="margin">
              <wp:posOffset>693420</wp:posOffset>
            </wp:positionH>
            <wp:positionV relativeFrom="paragraph">
              <wp:posOffset>64770</wp:posOffset>
            </wp:positionV>
            <wp:extent cx="4739005" cy="32283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t="2979" b="4129"/>
                    <a:stretch>
                      <a:fillRect/>
                    </a:stretch>
                  </pic:blipFill>
                  <pic:spPr bwMode="auto">
                    <a:xfrm>
                      <a:off x="0" y="0"/>
                      <a:ext cx="4739005" cy="3228340"/>
                    </a:xfrm>
                    <a:prstGeom prst="rect">
                      <a:avLst/>
                    </a:prstGeom>
                    <a:noFill/>
                    <a:ln w="9525">
                      <a:noFill/>
                      <a:miter lim="800000"/>
                      <a:headEnd/>
                      <a:tailEnd/>
                    </a:ln>
                  </pic:spPr>
                </pic:pic>
              </a:graphicData>
            </a:graphic>
          </wp:anchor>
        </w:drawing>
      </w:r>
    </w:p>
    <w:p w:rsidR="006767E3" w:rsidRDefault="006767E3" w:rsidP="004A6759">
      <w:pPr>
        <w:autoSpaceDE w:val="0"/>
        <w:autoSpaceDN w:val="0"/>
        <w:adjustRightInd w:val="0"/>
        <w:spacing w:after="120"/>
        <w:ind w:left="720"/>
        <w:jc w:val="center"/>
        <w:rPr>
          <w:sz w:val="22"/>
          <w:szCs w:val="22"/>
        </w:rPr>
      </w:pPr>
    </w:p>
    <w:p w:rsidR="006767E3" w:rsidRDefault="006767E3" w:rsidP="004A6759">
      <w:pPr>
        <w:autoSpaceDE w:val="0"/>
        <w:autoSpaceDN w:val="0"/>
        <w:adjustRightInd w:val="0"/>
        <w:spacing w:after="120"/>
        <w:ind w:left="720"/>
        <w:jc w:val="center"/>
        <w:rPr>
          <w:sz w:val="22"/>
          <w:szCs w:val="22"/>
        </w:rPr>
      </w:pPr>
    </w:p>
    <w:p w:rsidR="006767E3" w:rsidRDefault="006767E3" w:rsidP="004A6759">
      <w:pPr>
        <w:autoSpaceDE w:val="0"/>
        <w:autoSpaceDN w:val="0"/>
        <w:adjustRightInd w:val="0"/>
        <w:spacing w:after="120"/>
        <w:ind w:left="720"/>
        <w:jc w:val="center"/>
        <w:rPr>
          <w:sz w:val="22"/>
          <w:szCs w:val="22"/>
        </w:rPr>
      </w:pPr>
    </w:p>
    <w:p w:rsidR="006767E3" w:rsidRDefault="006767E3" w:rsidP="004A6759">
      <w:pPr>
        <w:autoSpaceDE w:val="0"/>
        <w:autoSpaceDN w:val="0"/>
        <w:adjustRightInd w:val="0"/>
        <w:spacing w:after="120"/>
        <w:ind w:left="720"/>
        <w:jc w:val="center"/>
        <w:rPr>
          <w:sz w:val="22"/>
          <w:szCs w:val="22"/>
        </w:rPr>
      </w:pPr>
    </w:p>
    <w:p w:rsidR="006767E3" w:rsidRDefault="006767E3" w:rsidP="004A6759">
      <w:pPr>
        <w:autoSpaceDE w:val="0"/>
        <w:autoSpaceDN w:val="0"/>
        <w:adjustRightInd w:val="0"/>
        <w:spacing w:after="120"/>
        <w:ind w:left="720"/>
        <w:jc w:val="center"/>
        <w:rPr>
          <w:sz w:val="22"/>
          <w:szCs w:val="22"/>
        </w:rPr>
      </w:pPr>
    </w:p>
    <w:p w:rsidR="006767E3" w:rsidRDefault="006767E3" w:rsidP="004A6759">
      <w:pPr>
        <w:autoSpaceDE w:val="0"/>
        <w:autoSpaceDN w:val="0"/>
        <w:adjustRightInd w:val="0"/>
        <w:spacing w:after="120"/>
        <w:ind w:left="720"/>
        <w:jc w:val="center"/>
        <w:rPr>
          <w:sz w:val="22"/>
          <w:szCs w:val="22"/>
        </w:rPr>
      </w:pPr>
    </w:p>
    <w:p w:rsidR="006767E3" w:rsidRDefault="006767E3" w:rsidP="004A6759">
      <w:pPr>
        <w:autoSpaceDE w:val="0"/>
        <w:autoSpaceDN w:val="0"/>
        <w:adjustRightInd w:val="0"/>
        <w:spacing w:after="120"/>
        <w:ind w:left="720"/>
        <w:jc w:val="center"/>
        <w:rPr>
          <w:sz w:val="22"/>
          <w:szCs w:val="22"/>
        </w:rPr>
      </w:pPr>
    </w:p>
    <w:p w:rsidR="006767E3" w:rsidRDefault="006767E3" w:rsidP="004A6759">
      <w:pPr>
        <w:autoSpaceDE w:val="0"/>
        <w:autoSpaceDN w:val="0"/>
        <w:adjustRightInd w:val="0"/>
        <w:spacing w:after="120"/>
        <w:ind w:left="720"/>
        <w:jc w:val="center"/>
        <w:rPr>
          <w:sz w:val="22"/>
          <w:szCs w:val="22"/>
        </w:rPr>
      </w:pPr>
    </w:p>
    <w:p w:rsidR="006767E3" w:rsidRDefault="006767E3" w:rsidP="004A6759">
      <w:pPr>
        <w:autoSpaceDE w:val="0"/>
        <w:autoSpaceDN w:val="0"/>
        <w:adjustRightInd w:val="0"/>
        <w:spacing w:after="120"/>
        <w:ind w:left="720"/>
        <w:jc w:val="center"/>
        <w:rPr>
          <w:sz w:val="22"/>
          <w:szCs w:val="22"/>
        </w:rPr>
      </w:pPr>
    </w:p>
    <w:p w:rsidR="006767E3" w:rsidRDefault="006767E3" w:rsidP="004A6759">
      <w:pPr>
        <w:autoSpaceDE w:val="0"/>
        <w:autoSpaceDN w:val="0"/>
        <w:adjustRightInd w:val="0"/>
        <w:spacing w:after="120"/>
        <w:ind w:left="720"/>
        <w:jc w:val="center"/>
        <w:rPr>
          <w:sz w:val="22"/>
          <w:szCs w:val="22"/>
        </w:rPr>
      </w:pPr>
    </w:p>
    <w:p w:rsidR="00BA58A6" w:rsidRDefault="00BA58A6" w:rsidP="004A6759">
      <w:pPr>
        <w:autoSpaceDE w:val="0"/>
        <w:autoSpaceDN w:val="0"/>
        <w:adjustRightInd w:val="0"/>
        <w:spacing w:after="120"/>
        <w:ind w:left="720"/>
        <w:jc w:val="center"/>
        <w:rPr>
          <w:sz w:val="22"/>
          <w:szCs w:val="22"/>
        </w:rPr>
      </w:pPr>
    </w:p>
    <w:p w:rsidR="002777EC" w:rsidRDefault="004D7832" w:rsidP="00F538AE">
      <w:pPr>
        <w:numPr>
          <w:ilvl w:val="0"/>
          <w:numId w:val="19"/>
        </w:numPr>
        <w:autoSpaceDE w:val="0"/>
        <w:autoSpaceDN w:val="0"/>
        <w:adjustRightInd w:val="0"/>
        <w:spacing w:after="120"/>
        <w:rPr>
          <w:sz w:val="22"/>
          <w:szCs w:val="22"/>
        </w:rPr>
      </w:pPr>
      <w:commentRangeStart w:id="11"/>
      <w:r>
        <w:rPr>
          <w:sz w:val="22"/>
          <w:szCs w:val="22"/>
        </w:rPr>
        <w:lastRenderedPageBreak/>
        <w:t>In</w:t>
      </w:r>
      <w:commentRangeEnd w:id="11"/>
      <w:r w:rsidR="008531F5">
        <w:rPr>
          <w:rStyle w:val="CommentReference"/>
        </w:rPr>
        <w:commentReference w:id="11"/>
      </w:r>
      <w:r>
        <w:rPr>
          <w:sz w:val="22"/>
          <w:szCs w:val="22"/>
        </w:rPr>
        <w:t xml:space="preserve"> prior homeworks using the Cardiovascular Health Study datasets, we were able to use logistic regression to investigate associations between mortality and various covariates. Why might such an approach not seem advisable with these data? (Consider the extent to which such analyses might be confounded and/or lack precision.)</w:t>
      </w:r>
    </w:p>
    <w:p w:rsidR="00C16EEB" w:rsidRDefault="005D77D2" w:rsidP="00C16EEB">
      <w:pPr>
        <w:autoSpaceDE w:val="0"/>
        <w:autoSpaceDN w:val="0"/>
        <w:adjustRightInd w:val="0"/>
        <w:spacing w:after="120"/>
        <w:ind w:left="720"/>
        <w:rPr>
          <w:sz w:val="22"/>
          <w:szCs w:val="22"/>
        </w:rPr>
      </w:pPr>
      <w:commentRangeStart w:id="12"/>
      <w:r w:rsidRPr="001910CB">
        <w:rPr>
          <w:b/>
          <w:sz w:val="22"/>
          <w:szCs w:val="22"/>
          <w:u w:val="single"/>
        </w:rPr>
        <w:t>Answer</w:t>
      </w:r>
      <w:r>
        <w:rPr>
          <w:sz w:val="22"/>
          <w:szCs w:val="22"/>
        </w:rPr>
        <w:t xml:space="preserve">: </w:t>
      </w:r>
      <w:commentRangeEnd w:id="12"/>
      <w:r w:rsidR="00AB4D56">
        <w:rPr>
          <w:rStyle w:val="CommentReference"/>
        </w:rPr>
        <w:commentReference w:id="12"/>
      </w:r>
      <w:r>
        <w:rPr>
          <w:sz w:val="22"/>
          <w:szCs w:val="22"/>
        </w:rPr>
        <w:t xml:space="preserve">First, right-censoring occurs in this dataset </w:t>
      </w:r>
      <w:r w:rsidR="00583B7E">
        <w:rPr>
          <w:sz w:val="22"/>
          <w:szCs w:val="22"/>
        </w:rPr>
        <w:t xml:space="preserve">starting </w:t>
      </w:r>
      <w:commentRangeStart w:id="13"/>
      <w:commentRangeStart w:id="14"/>
      <w:r w:rsidR="00583B7E">
        <w:rPr>
          <w:sz w:val="22"/>
          <w:szCs w:val="22"/>
        </w:rPr>
        <w:t>at</w:t>
      </w:r>
      <w:r>
        <w:rPr>
          <w:sz w:val="22"/>
          <w:szCs w:val="22"/>
        </w:rPr>
        <w:t xml:space="preserve"> </w:t>
      </w:r>
      <w:r w:rsidR="00583B7E">
        <w:rPr>
          <w:sz w:val="22"/>
          <w:szCs w:val="22"/>
        </w:rPr>
        <w:t>1.46 years</w:t>
      </w:r>
      <w:r>
        <w:rPr>
          <w:sz w:val="22"/>
          <w:szCs w:val="22"/>
        </w:rPr>
        <w:t xml:space="preserve">. </w:t>
      </w:r>
      <w:commentRangeEnd w:id="13"/>
      <w:r w:rsidR="004947D0">
        <w:rPr>
          <w:rStyle w:val="CommentReference"/>
        </w:rPr>
        <w:commentReference w:id="13"/>
      </w:r>
      <w:r>
        <w:rPr>
          <w:sz w:val="22"/>
          <w:szCs w:val="22"/>
        </w:rPr>
        <w:t>T</w:t>
      </w:r>
      <w:commentRangeEnd w:id="14"/>
      <w:r w:rsidR="00AB4D56">
        <w:rPr>
          <w:rStyle w:val="CommentReference"/>
        </w:rPr>
        <w:commentReference w:id="14"/>
      </w:r>
      <w:r>
        <w:rPr>
          <w:sz w:val="22"/>
          <w:szCs w:val="22"/>
        </w:rPr>
        <w:t xml:space="preserve">herefore, we </w:t>
      </w:r>
      <w:r w:rsidR="001910CB">
        <w:rPr>
          <w:sz w:val="22"/>
          <w:szCs w:val="22"/>
        </w:rPr>
        <w:t>should not</w:t>
      </w:r>
      <w:r>
        <w:rPr>
          <w:sz w:val="22"/>
          <w:szCs w:val="22"/>
        </w:rPr>
        <w:t xml:space="preserve"> use the other forms of regression </w:t>
      </w:r>
      <w:commentRangeStart w:id="15"/>
      <w:r>
        <w:rPr>
          <w:sz w:val="22"/>
          <w:szCs w:val="22"/>
        </w:rPr>
        <w:t>that do not take into account censoring</w:t>
      </w:r>
      <w:r w:rsidR="00A02CD8">
        <w:rPr>
          <w:sz w:val="22"/>
          <w:szCs w:val="22"/>
        </w:rPr>
        <w:t xml:space="preserve"> when looking at the entire time of observation (or anything past 1.4 years)</w:t>
      </w:r>
      <w:r>
        <w:rPr>
          <w:sz w:val="22"/>
          <w:szCs w:val="22"/>
        </w:rPr>
        <w:t>.</w:t>
      </w:r>
      <w:r w:rsidR="00C24F04">
        <w:rPr>
          <w:sz w:val="22"/>
          <w:szCs w:val="22"/>
        </w:rPr>
        <w:t xml:space="preserve"> </w:t>
      </w:r>
      <w:commentRangeEnd w:id="15"/>
      <w:r w:rsidR="00AB4D56">
        <w:rPr>
          <w:rStyle w:val="CommentReference"/>
        </w:rPr>
        <w:commentReference w:id="15"/>
      </w:r>
      <w:commentRangeStart w:id="16"/>
      <w:r w:rsidR="00C24F04">
        <w:rPr>
          <w:sz w:val="22"/>
          <w:szCs w:val="22"/>
        </w:rPr>
        <w:t>Next, logistic regression does not improve when using robust standard error estimates, but we would like to allow our analyses to allow for heteroscedasticity</w:t>
      </w:r>
      <w:r>
        <w:rPr>
          <w:sz w:val="22"/>
          <w:szCs w:val="22"/>
        </w:rPr>
        <w:t>.</w:t>
      </w:r>
      <w:r w:rsidR="00FB7BDC">
        <w:rPr>
          <w:sz w:val="22"/>
          <w:szCs w:val="22"/>
        </w:rPr>
        <w:t xml:space="preserve"> </w:t>
      </w:r>
      <w:commentRangeEnd w:id="16"/>
      <w:r w:rsidR="00AB4D56">
        <w:rPr>
          <w:rStyle w:val="CommentReference"/>
        </w:rPr>
        <w:commentReference w:id="16"/>
      </w:r>
      <w:r w:rsidR="00FB7BDC">
        <w:rPr>
          <w:sz w:val="22"/>
          <w:szCs w:val="22"/>
        </w:rPr>
        <w:t xml:space="preserve">It also </w:t>
      </w:r>
      <w:commentRangeStart w:id="17"/>
      <w:r w:rsidR="00FB7BDC">
        <w:rPr>
          <w:sz w:val="22"/>
          <w:szCs w:val="22"/>
        </w:rPr>
        <w:t xml:space="preserve">appears that sex </w:t>
      </w:r>
      <w:r w:rsidR="00B74B21">
        <w:rPr>
          <w:sz w:val="22"/>
          <w:szCs w:val="22"/>
        </w:rPr>
        <w:t xml:space="preserve">or age </w:t>
      </w:r>
      <w:r w:rsidR="00FB7BDC">
        <w:rPr>
          <w:sz w:val="22"/>
          <w:szCs w:val="22"/>
        </w:rPr>
        <w:t xml:space="preserve">might confound </w:t>
      </w:r>
      <w:commentRangeEnd w:id="17"/>
      <w:r w:rsidR="00AB4D56">
        <w:rPr>
          <w:rStyle w:val="CommentReference"/>
        </w:rPr>
        <w:commentReference w:id="17"/>
      </w:r>
      <w:r w:rsidR="00FB7BDC">
        <w:rPr>
          <w:sz w:val="22"/>
          <w:szCs w:val="22"/>
        </w:rPr>
        <w:t xml:space="preserve">our analysis </w:t>
      </w:r>
      <w:r w:rsidR="00B74B21">
        <w:rPr>
          <w:sz w:val="22"/>
          <w:szCs w:val="22"/>
        </w:rPr>
        <w:t>and/or</w:t>
      </w:r>
      <w:r w:rsidR="00FB7BDC">
        <w:rPr>
          <w:sz w:val="22"/>
          <w:szCs w:val="22"/>
        </w:rPr>
        <w:t xml:space="preserve"> be a precision variable, so these need to be addressed before running a logistic regression (or any regression). </w:t>
      </w:r>
    </w:p>
    <w:p w:rsidR="005D77D2" w:rsidRDefault="005D77D2" w:rsidP="00C16EEB">
      <w:pPr>
        <w:autoSpaceDE w:val="0"/>
        <w:autoSpaceDN w:val="0"/>
        <w:adjustRightInd w:val="0"/>
        <w:spacing w:after="120"/>
        <w:ind w:left="720"/>
        <w:rPr>
          <w:sz w:val="22"/>
          <w:szCs w:val="22"/>
        </w:rPr>
      </w:pPr>
    </w:p>
    <w:p w:rsidR="006767E3" w:rsidRDefault="006767E3" w:rsidP="00C16EEB">
      <w:pPr>
        <w:autoSpaceDE w:val="0"/>
        <w:autoSpaceDN w:val="0"/>
        <w:adjustRightInd w:val="0"/>
        <w:spacing w:after="120"/>
        <w:ind w:left="720"/>
        <w:rPr>
          <w:sz w:val="22"/>
          <w:szCs w:val="22"/>
        </w:rPr>
      </w:pPr>
    </w:p>
    <w:p w:rsidR="00A459C8" w:rsidRDefault="00C55091" w:rsidP="002777EC">
      <w:pPr>
        <w:numPr>
          <w:ilvl w:val="0"/>
          <w:numId w:val="19"/>
        </w:numPr>
        <w:autoSpaceDE w:val="0"/>
        <w:autoSpaceDN w:val="0"/>
        <w:adjustRightInd w:val="0"/>
        <w:spacing w:after="120"/>
        <w:rPr>
          <w:sz w:val="22"/>
          <w:szCs w:val="22"/>
        </w:rPr>
      </w:pPr>
      <w:commentRangeStart w:id="18"/>
      <w:r w:rsidRPr="009D5804">
        <w:rPr>
          <w:sz w:val="22"/>
          <w:szCs w:val="22"/>
        </w:rPr>
        <w:t xml:space="preserve">Perform </w:t>
      </w:r>
      <w:commentRangeEnd w:id="18"/>
      <w:r w:rsidR="008531F5">
        <w:rPr>
          <w:rStyle w:val="CommentReference"/>
        </w:rPr>
        <w:commentReference w:id="18"/>
      </w:r>
      <w:r w:rsidRPr="009D5804">
        <w:rPr>
          <w:sz w:val="22"/>
          <w:szCs w:val="22"/>
        </w:rPr>
        <w:t xml:space="preserve">a statistical </w:t>
      </w:r>
      <w:r w:rsidR="00115B08">
        <w:rPr>
          <w:sz w:val="22"/>
          <w:szCs w:val="22"/>
        </w:rPr>
        <w:t xml:space="preserve">regression </w:t>
      </w:r>
      <w:r w:rsidRPr="009D5804">
        <w:rPr>
          <w:sz w:val="22"/>
          <w:szCs w:val="22"/>
        </w:rPr>
        <w:t xml:space="preserve">analysis evaluating an association between serum </w:t>
      </w:r>
      <w:r w:rsidR="002777EC">
        <w:rPr>
          <w:sz w:val="22"/>
          <w:szCs w:val="22"/>
        </w:rPr>
        <w:t>bilirubin</w:t>
      </w:r>
      <w:r w:rsidR="00F538AE">
        <w:rPr>
          <w:sz w:val="22"/>
          <w:szCs w:val="22"/>
        </w:rPr>
        <w:t xml:space="preserve"> </w:t>
      </w:r>
      <w:r w:rsidRPr="009D5804">
        <w:rPr>
          <w:sz w:val="22"/>
          <w:szCs w:val="22"/>
        </w:rPr>
        <w:t xml:space="preserve">and all-cause mortality by comparing the </w:t>
      </w:r>
      <w:r w:rsidR="00F538AE">
        <w:rPr>
          <w:sz w:val="22"/>
          <w:szCs w:val="22"/>
        </w:rPr>
        <w:t>instantaneous risk (hazard) of</w:t>
      </w:r>
      <w:r w:rsidRPr="009D5804">
        <w:rPr>
          <w:sz w:val="22"/>
          <w:szCs w:val="22"/>
        </w:rPr>
        <w:t xml:space="preserve"> death </w:t>
      </w:r>
      <w:r w:rsidR="00F538AE">
        <w:rPr>
          <w:sz w:val="22"/>
          <w:szCs w:val="22"/>
        </w:rPr>
        <w:t>over the entire period of observation across groups defined by</w:t>
      </w:r>
      <w:r w:rsidR="00B457A7" w:rsidRPr="009D5804">
        <w:rPr>
          <w:sz w:val="22"/>
          <w:szCs w:val="22"/>
        </w:rPr>
        <w:t xml:space="preserve"> serum </w:t>
      </w:r>
      <w:r w:rsidR="002777EC">
        <w:rPr>
          <w:sz w:val="22"/>
          <w:szCs w:val="22"/>
        </w:rPr>
        <w:t>bilirubin</w:t>
      </w:r>
      <w:r w:rsidR="00B457A7" w:rsidRPr="009D5804">
        <w:rPr>
          <w:sz w:val="22"/>
          <w:szCs w:val="22"/>
        </w:rPr>
        <w:t xml:space="preserve"> </w:t>
      </w:r>
      <w:r w:rsidR="00F538AE">
        <w:rPr>
          <w:sz w:val="22"/>
          <w:szCs w:val="22"/>
        </w:rPr>
        <w:t xml:space="preserve">modeled as a continuous variable. </w:t>
      </w:r>
    </w:p>
    <w:p w:rsidR="00A459C8" w:rsidRDefault="00F538AE" w:rsidP="002777EC">
      <w:pPr>
        <w:numPr>
          <w:ilvl w:val="1"/>
          <w:numId w:val="19"/>
        </w:numPr>
        <w:autoSpaceDE w:val="0"/>
        <w:autoSpaceDN w:val="0"/>
        <w:adjustRightInd w:val="0"/>
        <w:spacing w:after="120"/>
        <w:rPr>
          <w:sz w:val="22"/>
          <w:szCs w:val="22"/>
        </w:rPr>
      </w:pPr>
      <w:r>
        <w:rPr>
          <w:sz w:val="22"/>
          <w:szCs w:val="22"/>
        </w:rPr>
        <w:t xml:space="preserve">Include </w:t>
      </w:r>
      <w:r w:rsidR="002777EC">
        <w:rPr>
          <w:sz w:val="22"/>
          <w:szCs w:val="22"/>
        </w:rPr>
        <w:t>a</w:t>
      </w:r>
      <w:r>
        <w:rPr>
          <w:sz w:val="22"/>
          <w:szCs w:val="22"/>
        </w:rPr>
        <w:t xml:space="preserve"> </w:t>
      </w:r>
      <w:r w:rsidR="00A620A3">
        <w:rPr>
          <w:sz w:val="22"/>
          <w:szCs w:val="22"/>
        </w:rPr>
        <w:t xml:space="preserve">full report of your </w:t>
      </w:r>
      <w:r w:rsidR="002777EC">
        <w:rPr>
          <w:sz w:val="22"/>
          <w:szCs w:val="22"/>
        </w:rPr>
        <w:t>inference about the association</w:t>
      </w:r>
      <w:r>
        <w:rPr>
          <w:sz w:val="22"/>
          <w:szCs w:val="22"/>
        </w:rPr>
        <w:t>.</w:t>
      </w:r>
    </w:p>
    <w:p w:rsidR="00623905" w:rsidRDefault="007B1A66" w:rsidP="007B1A66">
      <w:pPr>
        <w:autoSpaceDE w:val="0"/>
        <w:autoSpaceDN w:val="0"/>
        <w:adjustRightInd w:val="0"/>
        <w:spacing w:after="120"/>
        <w:ind w:left="1440"/>
        <w:rPr>
          <w:sz w:val="22"/>
          <w:szCs w:val="22"/>
        </w:rPr>
      </w:pPr>
      <w:r w:rsidRPr="001F76DB">
        <w:rPr>
          <w:b/>
          <w:sz w:val="22"/>
          <w:szCs w:val="22"/>
          <w:u w:val="single"/>
        </w:rPr>
        <w:t>Methods:</w:t>
      </w:r>
      <w:r>
        <w:rPr>
          <w:sz w:val="22"/>
          <w:szCs w:val="22"/>
        </w:rPr>
        <w:t xml:space="preserve"> Using proportional hazards regression for </w:t>
      </w:r>
      <w:r w:rsidR="00BD2160">
        <w:rPr>
          <w:sz w:val="22"/>
          <w:szCs w:val="22"/>
        </w:rPr>
        <w:t>all 418</w:t>
      </w:r>
      <w:r>
        <w:rPr>
          <w:sz w:val="22"/>
          <w:szCs w:val="22"/>
        </w:rPr>
        <w:t xml:space="preserve"> </w:t>
      </w:r>
      <w:r w:rsidR="00CB0044">
        <w:rPr>
          <w:sz w:val="22"/>
          <w:szCs w:val="22"/>
        </w:rPr>
        <w:t xml:space="preserve">subjects </w:t>
      </w:r>
      <w:commentRangeStart w:id="19"/>
      <w:r w:rsidR="00CB0044">
        <w:rPr>
          <w:sz w:val="22"/>
          <w:szCs w:val="22"/>
        </w:rPr>
        <w:t xml:space="preserve">(where there were 161 observed deaths over 13.1 years), </w:t>
      </w:r>
      <w:r>
        <w:rPr>
          <w:sz w:val="22"/>
          <w:szCs w:val="22"/>
        </w:rPr>
        <w:t xml:space="preserve"> </w:t>
      </w:r>
      <w:commentRangeEnd w:id="19"/>
      <w:r w:rsidR="008531F5">
        <w:rPr>
          <w:rStyle w:val="CommentReference"/>
        </w:rPr>
        <w:commentReference w:id="19"/>
      </w:r>
      <w:r>
        <w:rPr>
          <w:sz w:val="22"/>
          <w:szCs w:val="22"/>
        </w:rPr>
        <w:t>we estimate th</w:t>
      </w:r>
      <w:r w:rsidR="00BD2160">
        <w:rPr>
          <w:sz w:val="22"/>
          <w:szCs w:val="22"/>
        </w:rPr>
        <w:t>e</w:t>
      </w:r>
      <w:r>
        <w:rPr>
          <w:sz w:val="22"/>
          <w:szCs w:val="22"/>
        </w:rPr>
        <w:t xml:space="preserve"> hazard ratio over the entire period of observation for groups of subjects </w:t>
      </w:r>
      <w:commentRangeStart w:id="20"/>
      <w:r>
        <w:rPr>
          <w:sz w:val="22"/>
          <w:szCs w:val="22"/>
        </w:rPr>
        <w:t>varying by 1 mg/dl of bilirubin</w:t>
      </w:r>
      <w:commentRangeEnd w:id="20"/>
      <w:r w:rsidR="008531F5">
        <w:rPr>
          <w:rStyle w:val="CommentReference"/>
        </w:rPr>
        <w:commentReference w:id="20"/>
      </w:r>
      <w:r>
        <w:rPr>
          <w:sz w:val="22"/>
          <w:szCs w:val="22"/>
        </w:rPr>
        <w:t xml:space="preserve">, </w:t>
      </w:r>
      <w:r w:rsidR="000672ED">
        <w:rPr>
          <w:sz w:val="22"/>
          <w:szCs w:val="22"/>
        </w:rPr>
        <w:t>using robust standard error estimates</w:t>
      </w:r>
      <w:r>
        <w:rPr>
          <w:sz w:val="22"/>
          <w:szCs w:val="22"/>
        </w:rPr>
        <w:t xml:space="preserve">. </w:t>
      </w:r>
      <w:r w:rsidR="00CB0044">
        <w:rPr>
          <w:sz w:val="22"/>
          <w:szCs w:val="22"/>
        </w:rPr>
        <w:t>A hazard ratio of 1 was tested</w:t>
      </w:r>
      <w:r w:rsidR="00CB0044" w:rsidRPr="00121793">
        <w:rPr>
          <w:sz w:val="22"/>
          <w:szCs w:val="22"/>
        </w:rPr>
        <w:t xml:space="preserve">, and 95% confidence intervals </w:t>
      </w:r>
      <w:commentRangeStart w:id="21"/>
      <w:r w:rsidR="00CB0044" w:rsidRPr="00121793">
        <w:rPr>
          <w:sz w:val="22"/>
          <w:szCs w:val="22"/>
        </w:rPr>
        <w:t xml:space="preserve">and p-values </w:t>
      </w:r>
      <w:commentRangeEnd w:id="21"/>
      <w:r w:rsidR="008531F5">
        <w:rPr>
          <w:rStyle w:val="CommentReference"/>
        </w:rPr>
        <w:commentReference w:id="21"/>
      </w:r>
      <w:r w:rsidR="00CB0044">
        <w:rPr>
          <w:sz w:val="22"/>
          <w:szCs w:val="22"/>
        </w:rPr>
        <w:t>were</w:t>
      </w:r>
      <w:r w:rsidR="00CB0044" w:rsidRPr="00121793">
        <w:rPr>
          <w:sz w:val="22"/>
          <w:szCs w:val="22"/>
        </w:rPr>
        <w:t xml:space="preserve"> Wald-based. </w:t>
      </w:r>
      <w:r w:rsidR="00CB0044">
        <w:rPr>
          <w:sz w:val="22"/>
          <w:szCs w:val="22"/>
        </w:rPr>
        <w:t xml:space="preserve"> </w:t>
      </w:r>
    </w:p>
    <w:p w:rsidR="00623905" w:rsidRDefault="001F76DB" w:rsidP="001F76DB">
      <w:pPr>
        <w:autoSpaceDE w:val="0"/>
        <w:autoSpaceDN w:val="0"/>
        <w:adjustRightInd w:val="0"/>
        <w:spacing w:after="120"/>
        <w:ind w:left="1440"/>
        <w:rPr>
          <w:sz w:val="22"/>
          <w:szCs w:val="22"/>
        </w:rPr>
      </w:pPr>
      <w:commentRangeStart w:id="22"/>
      <w:r w:rsidRPr="00AD4EC8">
        <w:rPr>
          <w:b/>
          <w:sz w:val="22"/>
          <w:szCs w:val="22"/>
          <w:u w:val="single"/>
        </w:rPr>
        <w:t>Inference:</w:t>
      </w:r>
      <w:r>
        <w:rPr>
          <w:sz w:val="22"/>
          <w:szCs w:val="22"/>
        </w:rPr>
        <w:t xml:space="preserve"> </w:t>
      </w:r>
      <w:commentRangeEnd w:id="22"/>
      <w:r w:rsidR="00C71422">
        <w:rPr>
          <w:rStyle w:val="CommentReference"/>
        </w:rPr>
        <w:commentReference w:id="22"/>
      </w:r>
      <w:r>
        <w:rPr>
          <w:sz w:val="22"/>
          <w:szCs w:val="22"/>
        </w:rPr>
        <w:t xml:space="preserve">Using proportional hazards regression, we estimate that for each difference of 1 mg/dl of bilirubin, the risk of (all-cause) mortality is </w:t>
      </w:r>
      <w:r w:rsidR="00BD2160">
        <w:rPr>
          <w:sz w:val="22"/>
          <w:szCs w:val="22"/>
        </w:rPr>
        <w:t>15.2</w:t>
      </w:r>
      <w:r>
        <w:rPr>
          <w:sz w:val="22"/>
          <w:szCs w:val="22"/>
        </w:rPr>
        <w:t xml:space="preserve">% </w:t>
      </w:r>
      <w:r w:rsidR="00BD2160">
        <w:rPr>
          <w:sz w:val="22"/>
          <w:szCs w:val="22"/>
        </w:rPr>
        <w:t>higher</w:t>
      </w:r>
      <w:r>
        <w:rPr>
          <w:sz w:val="22"/>
          <w:szCs w:val="22"/>
        </w:rPr>
        <w:t xml:space="preserve"> for those subjects with greater bilirubin. This observation is consistent with a group that has </w:t>
      </w:r>
      <w:r w:rsidR="00AD4EC8">
        <w:rPr>
          <w:sz w:val="22"/>
          <w:szCs w:val="22"/>
        </w:rPr>
        <w:t xml:space="preserve">a </w:t>
      </w:r>
      <w:r>
        <w:rPr>
          <w:sz w:val="22"/>
          <w:szCs w:val="22"/>
        </w:rPr>
        <w:t xml:space="preserve">1 mg/dl </w:t>
      </w:r>
      <w:r w:rsidR="00AD4EC8">
        <w:rPr>
          <w:sz w:val="22"/>
          <w:szCs w:val="22"/>
        </w:rPr>
        <w:t>higher</w:t>
      </w:r>
      <w:r>
        <w:rPr>
          <w:sz w:val="22"/>
          <w:szCs w:val="22"/>
        </w:rPr>
        <w:t xml:space="preserve"> bilirubin having a</w:t>
      </w:r>
      <w:r w:rsidR="00AD4EC8">
        <w:rPr>
          <w:sz w:val="22"/>
          <w:szCs w:val="22"/>
        </w:rPr>
        <w:t xml:space="preserve"> risk of mortality between </w:t>
      </w:r>
      <w:commentRangeStart w:id="23"/>
      <w:r w:rsidR="00BD2160">
        <w:rPr>
          <w:sz w:val="22"/>
          <w:szCs w:val="22"/>
        </w:rPr>
        <w:t xml:space="preserve">12.1% </w:t>
      </w:r>
      <w:r w:rsidR="00AD4EC8">
        <w:rPr>
          <w:sz w:val="22"/>
          <w:szCs w:val="22"/>
        </w:rPr>
        <w:t xml:space="preserve">and </w:t>
      </w:r>
      <w:r w:rsidR="00BD2160">
        <w:rPr>
          <w:sz w:val="22"/>
          <w:szCs w:val="22"/>
        </w:rPr>
        <w:t>18.5</w:t>
      </w:r>
      <w:r w:rsidR="00AD4EC8">
        <w:rPr>
          <w:sz w:val="22"/>
          <w:szCs w:val="22"/>
        </w:rPr>
        <w:t xml:space="preserve">% </w:t>
      </w:r>
      <w:commentRangeEnd w:id="23"/>
      <w:r w:rsidR="008531F5">
        <w:rPr>
          <w:rStyle w:val="CommentReference"/>
        </w:rPr>
        <w:commentReference w:id="23"/>
      </w:r>
      <w:r w:rsidR="00AD4EC8">
        <w:rPr>
          <w:sz w:val="22"/>
          <w:szCs w:val="22"/>
        </w:rPr>
        <w:t>higher than the lower bilirubin group</w:t>
      </w:r>
      <w:r>
        <w:rPr>
          <w:sz w:val="22"/>
          <w:szCs w:val="22"/>
        </w:rPr>
        <w:t>, based on a 95% confidence interval.</w:t>
      </w:r>
      <w:r w:rsidR="00AD4EC8">
        <w:rPr>
          <w:sz w:val="22"/>
          <w:szCs w:val="22"/>
        </w:rPr>
        <w:t xml:space="preserve"> This estimate is statistically significant (p</w:t>
      </w:r>
      <w:r w:rsidR="00BD2160">
        <w:rPr>
          <w:sz w:val="22"/>
          <w:szCs w:val="22"/>
        </w:rPr>
        <w:t xml:space="preserve"> &lt; </w:t>
      </w:r>
      <w:r w:rsidR="00AD4EC8">
        <w:rPr>
          <w:sz w:val="22"/>
          <w:szCs w:val="22"/>
        </w:rPr>
        <w:t>0.</w:t>
      </w:r>
      <w:r w:rsidR="00BD2160">
        <w:rPr>
          <w:sz w:val="22"/>
          <w:szCs w:val="22"/>
        </w:rPr>
        <w:t>001</w:t>
      </w:r>
      <w:r w:rsidR="00AD4EC8">
        <w:rPr>
          <w:sz w:val="22"/>
          <w:szCs w:val="22"/>
        </w:rPr>
        <w:t xml:space="preserve">), so we </w:t>
      </w:r>
      <w:r w:rsidR="00BD2160">
        <w:rPr>
          <w:sz w:val="22"/>
          <w:szCs w:val="22"/>
        </w:rPr>
        <w:t xml:space="preserve">can with high confidence </w:t>
      </w:r>
      <w:r w:rsidR="00AD4EC8">
        <w:rPr>
          <w:sz w:val="22"/>
          <w:szCs w:val="22"/>
        </w:rPr>
        <w:t>reject the null hypothesis</w:t>
      </w:r>
      <w:r w:rsidR="003F2255">
        <w:rPr>
          <w:sz w:val="22"/>
          <w:szCs w:val="22"/>
        </w:rPr>
        <w:t xml:space="preserve"> that there is no association between bilirubin and all-cause mortality</w:t>
      </w:r>
      <w:r w:rsidR="00AD4EC8">
        <w:rPr>
          <w:sz w:val="22"/>
          <w:szCs w:val="22"/>
        </w:rPr>
        <w:t xml:space="preserve">. </w:t>
      </w:r>
    </w:p>
    <w:p w:rsidR="00623905" w:rsidRDefault="00623905" w:rsidP="00BD2160">
      <w:pPr>
        <w:autoSpaceDE w:val="0"/>
        <w:autoSpaceDN w:val="0"/>
        <w:adjustRightInd w:val="0"/>
        <w:spacing w:after="120"/>
        <w:jc w:val="right"/>
        <w:rPr>
          <w:sz w:val="22"/>
          <w:szCs w:val="22"/>
        </w:rPr>
      </w:pPr>
    </w:p>
    <w:p w:rsidR="00125DD5" w:rsidRDefault="00A459C8" w:rsidP="00FB55D3">
      <w:pPr>
        <w:numPr>
          <w:ilvl w:val="1"/>
          <w:numId w:val="19"/>
        </w:numPr>
        <w:autoSpaceDE w:val="0"/>
        <w:autoSpaceDN w:val="0"/>
        <w:adjustRightInd w:val="0"/>
        <w:spacing w:after="120"/>
        <w:rPr>
          <w:sz w:val="22"/>
          <w:szCs w:val="22"/>
        </w:rPr>
      </w:pPr>
      <w:r>
        <w:rPr>
          <w:sz w:val="22"/>
          <w:szCs w:val="22"/>
        </w:rPr>
        <w:t xml:space="preserve">For each population defined by serum </w:t>
      </w:r>
      <w:r w:rsidR="002777EC">
        <w:rPr>
          <w:sz w:val="22"/>
          <w:szCs w:val="22"/>
        </w:rPr>
        <w:t>bilirubin</w:t>
      </w:r>
      <w:r>
        <w:rPr>
          <w:sz w:val="22"/>
          <w:szCs w:val="22"/>
        </w:rPr>
        <w:t xml:space="preserve"> value, compute the hazard ratio relative to a group having serum </w:t>
      </w:r>
      <w:r w:rsidR="002777EC">
        <w:rPr>
          <w:sz w:val="22"/>
          <w:szCs w:val="22"/>
        </w:rPr>
        <w:t>bilirubin of 1</w:t>
      </w:r>
      <w:r>
        <w:rPr>
          <w:sz w:val="22"/>
          <w:szCs w:val="22"/>
        </w:rPr>
        <w:t xml:space="preserve"> mg/dL. </w:t>
      </w:r>
      <w:r w:rsidR="00E01E38">
        <w:rPr>
          <w:sz w:val="22"/>
          <w:szCs w:val="22"/>
        </w:rPr>
        <w:t>(This will be used in problem 6</w:t>
      </w:r>
      <w:r w:rsidR="00A620A3">
        <w:rPr>
          <w:sz w:val="22"/>
          <w:szCs w:val="22"/>
        </w:rPr>
        <w:t>)</w:t>
      </w:r>
      <w:r w:rsidR="00FB55D3">
        <w:rPr>
          <w:sz w:val="22"/>
          <w:szCs w:val="22"/>
        </w:rPr>
        <w:t>.</w:t>
      </w:r>
    </w:p>
    <w:p w:rsidR="002A5868" w:rsidRDefault="002A5868" w:rsidP="00A620A3">
      <w:pPr>
        <w:autoSpaceDE w:val="0"/>
        <w:autoSpaceDN w:val="0"/>
        <w:adjustRightInd w:val="0"/>
        <w:spacing w:after="120"/>
        <w:ind w:left="1440" w:firstLine="720"/>
        <w:rPr>
          <w:sz w:val="22"/>
          <w:szCs w:val="22"/>
        </w:rPr>
      </w:pPr>
    </w:p>
    <w:p w:rsidR="00FB55D3" w:rsidRDefault="00FB55D3" w:rsidP="00A620A3">
      <w:pPr>
        <w:autoSpaceDE w:val="0"/>
        <w:autoSpaceDN w:val="0"/>
        <w:adjustRightInd w:val="0"/>
        <w:spacing w:after="120"/>
        <w:ind w:left="1440" w:firstLine="720"/>
        <w:rPr>
          <w:sz w:val="22"/>
          <w:szCs w:val="22"/>
        </w:rPr>
      </w:pPr>
    </w:p>
    <w:p w:rsidR="00FB55D3" w:rsidRPr="009D5804" w:rsidRDefault="00FB55D3" w:rsidP="00A620A3">
      <w:pPr>
        <w:autoSpaceDE w:val="0"/>
        <w:autoSpaceDN w:val="0"/>
        <w:adjustRightInd w:val="0"/>
        <w:spacing w:after="120"/>
        <w:ind w:left="1440" w:firstLine="720"/>
        <w:rPr>
          <w:sz w:val="22"/>
          <w:szCs w:val="22"/>
        </w:rPr>
      </w:pPr>
    </w:p>
    <w:p w:rsidR="00A620A3" w:rsidRDefault="00A620A3" w:rsidP="002777EC">
      <w:pPr>
        <w:numPr>
          <w:ilvl w:val="0"/>
          <w:numId w:val="19"/>
        </w:numPr>
        <w:autoSpaceDE w:val="0"/>
        <w:autoSpaceDN w:val="0"/>
        <w:adjustRightInd w:val="0"/>
        <w:spacing w:after="120"/>
        <w:rPr>
          <w:sz w:val="22"/>
          <w:szCs w:val="22"/>
        </w:rPr>
      </w:pPr>
      <w:commentRangeStart w:id="24"/>
      <w:r w:rsidRPr="009D5804">
        <w:rPr>
          <w:sz w:val="22"/>
          <w:szCs w:val="22"/>
        </w:rPr>
        <w:t>Perform</w:t>
      </w:r>
      <w:commentRangeEnd w:id="24"/>
      <w:r w:rsidR="00C71422">
        <w:rPr>
          <w:rStyle w:val="CommentReference"/>
        </w:rPr>
        <w:commentReference w:id="24"/>
      </w:r>
      <w:r w:rsidRPr="009D5804">
        <w:rPr>
          <w:sz w:val="22"/>
          <w:szCs w:val="22"/>
        </w:rPr>
        <w:t xml:space="preserve"> a statistical </w:t>
      </w:r>
      <w:r>
        <w:rPr>
          <w:sz w:val="22"/>
          <w:szCs w:val="22"/>
        </w:rPr>
        <w:t xml:space="preserve">regression </w:t>
      </w:r>
      <w:r w:rsidRPr="009D5804">
        <w:rPr>
          <w:sz w:val="22"/>
          <w:szCs w:val="22"/>
        </w:rPr>
        <w:t xml:space="preserve">analysis evaluating an association between serum </w:t>
      </w:r>
      <w:r w:rsidR="002777EC">
        <w:rPr>
          <w:sz w:val="22"/>
          <w:szCs w:val="22"/>
        </w:rPr>
        <w:t>bilirubin</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w:t>
      </w:r>
      <w:r w:rsidR="002777EC">
        <w:rPr>
          <w:sz w:val="22"/>
          <w:szCs w:val="22"/>
        </w:rPr>
        <w:t>bilirubin</w:t>
      </w:r>
      <w:r w:rsidRPr="009D5804">
        <w:rPr>
          <w:sz w:val="22"/>
          <w:szCs w:val="22"/>
        </w:rPr>
        <w:t xml:space="preserve"> </w:t>
      </w:r>
      <w:r>
        <w:rPr>
          <w:sz w:val="22"/>
          <w:szCs w:val="22"/>
        </w:rPr>
        <w:t xml:space="preserve">modeled as a continuous </w:t>
      </w:r>
      <w:r w:rsidR="00474EF6">
        <w:rPr>
          <w:sz w:val="22"/>
          <w:szCs w:val="22"/>
        </w:rPr>
        <w:t xml:space="preserve">logarithmically transformed </w:t>
      </w:r>
      <w:r>
        <w:rPr>
          <w:sz w:val="22"/>
          <w:szCs w:val="22"/>
        </w:rPr>
        <w:t xml:space="preserve">variable. </w:t>
      </w:r>
    </w:p>
    <w:p w:rsidR="00E01E38" w:rsidRPr="00E56390" w:rsidRDefault="00E01E38" w:rsidP="002777EC">
      <w:pPr>
        <w:numPr>
          <w:ilvl w:val="1"/>
          <w:numId w:val="19"/>
        </w:numPr>
        <w:autoSpaceDE w:val="0"/>
        <w:autoSpaceDN w:val="0"/>
        <w:adjustRightInd w:val="0"/>
        <w:spacing w:after="120"/>
        <w:rPr>
          <w:sz w:val="22"/>
          <w:szCs w:val="22"/>
        </w:rPr>
      </w:pPr>
      <w:r>
        <w:rPr>
          <w:sz w:val="22"/>
          <w:szCs w:val="22"/>
        </w:rPr>
        <w:t xml:space="preserve">Why might this analysis be preferred </w:t>
      </w:r>
      <w:r>
        <w:rPr>
          <w:i/>
          <w:iCs/>
          <w:sz w:val="22"/>
          <w:szCs w:val="22"/>
        </w:rPr>
        <w:t>a priori?</w:t>
      </w:r>
    </w:p>
    <w:p w:rsidR="00E56390" w:rsidRDefault="00E56390" w:rsidP="00E56390">
      <w:pPr>
        <w:autoSpaceDE w:val="0"/>
        <w:autoSpaceDN w:val="0"/>
        <w:adjustRightInd w:val="0"/>
        <w:spacing w:after="120"/>
        <w:ind w:left="1440"/>
        <w:rPr>
          <w:sz w:val="22"/>
          <w:szCs w:val="22"/>
        </w:rPr>
      </w:pPr>
      <w:r w:rsidRPr="00B30CC4">
        <w:rPr>
          <w:b/>
          <w:sz w:val="22"/>
          <w:szCs w:val="22"/>
          <w:u w:val="single"/>
        </w:rPr>
        <w:t>Answer</w:t>
      </w:r>
      <w:r>
        <w:rPr>
          <w:sz w:val="22"/>
          <w:szCs w:val="22"/>
        </w:rPr>
        <w:t>: Before performing the analysis, log transformed bilirubin might be preferred</w:t>
      </w:r>
      <w:r w:rsidR="00A55C10">
        <w:rPr>
          <w:sz w:val="22"/>
          <w:szCs w:val="22"/>
        </w:rPr>
        <w:t xml:space="preserve"> since bilirubin acts on a multiplicative scale</w:t>
      </w:r>
      <w:commentRangeStart w:id="25"/>
      <w:r w:rsidR="00A55C10">
        <w:rPr>
          <w:sz w:val="22"/>
          <w:szCs w:val="22"/>
        </w:rPr>
        <w:t>.</w:t>
      </w:r>
      <w:r w:rsidR="00B30CC4">
        <w:rPr>
          <w:sz w:val="22"/>
          <w:szCs w:val="22"/>
        </w:rPr>
        <w:t xml:space="preserve"> A constant </w:t>
      </w:r>
      <w:commentRangeEnd w:id="25"/>
      <w:r w:rsidR="00C71422">
        <w:rPr>
          <w:rStyle w:val="CommentReference"/>
        </w:rPr>
        <w:commentReference w:id="25"/>
      </w:r>
      <w:r w:rsidR="00B30CC4">
        <w:rPr>
          <w:sz w:val="22"/>
          <w:szCs w:val="22"/>
        </w:rPr>
        <w:t>difference in bilirubin is not expected to have the same increase in risk, whereas a doubling would be more likely.</w:t>
      </w:r>
      <w:r w:rsidR="00A55C10">
        <w:rPr>
          <w:sz w:val="22"/>
          <w:szCs w:val="22"/>
        </w:rPr>
        <w:t xml:space="preserve"> Log transforming bilirubin would allow us to report association on a scientifically meaningful scale</w:t>
      </w:r>
      <w:r w:rsidR="00B30CC4">
        <w:rPr>
          <w:sz w:val="22"/>
          <w:szCs w:val="22"/>
        </w:rPr>
        <w:t xml:space="preserve"> and add precision to our analysis</w:t>
      </w:r>
      <w:r w:rsidR="00A55C10">
        <w:rPr>
          <w:sz w:val="22"/>
          <w:szCs w:val="22"/>
        </w:rPr>
        <w:t>.</w:t>
      </w:r>
    </w:p>
    <w:p w:rsidR="00A620A3" w:rsidRDefault="002777EC" w:rsidP="00780D8E">
      <w:pPr>
        <w:numPr>
          <w:ilvl w:val="1"/>
          <w:numId w:val="19"/>
        </w:numPr>
        <w:autoSpaceDE w:val="0"/>
        <w:autoSpaceDN w:val="0"/>
        <w:adjustRightInd w:val="0"/>
        <w:spacing w:after="120"/>
        <w:rPr>
          <w:sz w:val="22"/>
          <w:szCs w:val="22"/>
        </w:rPr>
      </w:pPr>
      <w:commentRangeStart w:id="26"/>
      <w:r>
        <w:rPr>
          <w:sz w:val="22"/>
          <w:szCs w:val="22"/>
        </w:rPr>
        <w:lastRenderedPageBreak/>
        <w:t xml:space="preserve">Include a </w:t>
      </w:r>
      <w:commentRangeEnd w:id="26"/>
      <w:r w:rsidR="00FF2562">
        <w:rPr>
          <w:rStyle w:val="CommentReference"/>
        </w:rPr>
        <w:commentReference w:id="26"/>
      </w:r>
      <w:r>
        <w:rPr>
          <w:sz w:val="22"/>
          <w:szCs w:val="22"/>
        </w:rPr>
        <w:t>full report of your inference about the association.</w:t>
      </w:r>
      <w:r w:rsidR="006F28D0">
        <w:rPr>
          <w:sz w:val="22"/>
          <w:szCs w:val="22"/>
        </w:rPr>
        <w:t xml:space="preserve">   </w:t>
      </w:r>
    </w:p>
    <w:p w:rsidR="00E56390" w:rsidRDefault="00E56390" w:rsidP="00E56390">
      <w:pPr>
        <w:pStyle w:val="ListParagraph"/>
        <w:rPr>
          <w:sz w:val="22"/>
          <w:szCs w:val="22"/>
        </w:rPr>
      </w:pPr>
    </w:p>
    <w:p w:rsidR="00E56390" w:rsidRDefault="00E56390" w:rsidP="00E56390">
      <w:pPr>
        <w:autoSpaceDE w:val="0"/>
        <w:autoSpaceDN w:val="0"/>
        <w:adjustRightInd w:val="0"/>
        <w:spacing w:after="120"/>
        <w:ind w:left="1440"/>
        <w:rPr>
          <w:sz w:val="22"/>
          <w:szCs w:val="22"/>
        </w:rPr>
      </w:pPr>
      <w:r w:rsidRPr="001F76DB">
        <w:rPr>
          <w:b/>
          <w:sz w:val="22"/>
          <w:szCs w:val="22"/>
          <w:u w:val="single"/>
        </w:rPr>
        <w:t>Methods:</w:t>
      </w:r>
      <w:r>
        <w:rPr>
          <w:sz w:val="22"/>
          <w:szCs w:val="22"/>
        </w:rPr>
        <w:t xml:space="preserve"> Using proportional hazards regression for all 418 subjects</w:t>
      </w:r>
      <w:r w:rsidR="00CB0044">
        <w:rPr>
          <w:sz w:val="22"/>
          <w:szCs w:val="22"/>
        </w:rPr>
        <w:t xml:space="preserve"> (where there were 161 observed deaths over 13.1 years)</w:t>
      </w:r>
      <w:r>
        <w:rPr>
          <w:sz w:val="22"/>
          <w:szCs w:val="22"/>
        </w:rPr>
        <w:t xml:space="preserve">, we estimate the hazard ratio over the entire period of observation for groups of subjects varying </w:t>
      </w:r>
      <w:r w:rsidR="00F61661">
        <w:rPr>
          <w:sz w:val="22"/>
          <w:szCs w:val="22"/>
        </w:rPr>
        <w:t xml:space="preserve">by a 2-fold difference in </w:t>
      </w:r>
      <w:r>
        <w:rPr>
          <w:sz w:val="22"/>
          <w:szCs w:val="22"/>
        </w:rPr>
        <w:t xml:space="preserve">bilirubin, using robust standard error estimates. </w:t>
      </w:r>
      <w:r w:rsidR="00F61661">
        <w:rPr>
          <w:sz w:val="22"/>
          <w:szCs w:val="22"/>
        </w:rPr>
        <w:t xml:space="preserve">Thus, analysis was performed on log-transformed bilirubin and reported on a 2-fold scale. </w:t>
      </w:r>
      <w:r w:rsidR="00CB0044">
        <w:rPr>
          <w:sz w:val="22"/>
          <w:szCs w:val="22"/>
        </w:rPr>
        <w:t>A hazard ratio of 1 was tested</w:t>
      </w:r>
      <w:r w:rsidR="00CB0044" w:rsidRPr="00121793">
        <w:rPr>
          <w:sz w:val="22"/>
          <w:szCs w:val="22"/>
        </w:rPr>
        <w:t xml:space="preserve">, and 95% confidence intervals and </w:t>
      </w:r>
      <w:commentRangeStart w:id="27"/>
      <w:r w:rsidR="00CB0044" w:rsidRPr="00121793">
        <w:rPr>
          <w:sz w:val="22"/>
          <w:szCs w:val="22"/>
        </w:rPr>
        <w:t xml:space="preserve">p-values </w:t>
      </w:r>
      <w:commentRangeEnd w:id="27"/>
      <w:r w:rsidR="00C71422">
        <w:rPr>
          <w:rStyle w:val="CommentReference"/>
        </w:rPr>
        <w:commentReference w:id="27"/>
      </w:r>
      <w:r w:rsidR="00CB0044">
        <w:rPr>
          <w:sz w:val="22"/>
          <w:szCs w:val="22"/>
        </w:rPr>
        <w:t>were</w:t>
      </w:r>
      <w:r w:rsidR="00CB0044" w:rsidRPr="00121793">
        <w:rPr>
          <w:sz w:val="22"/>
          <w:szCs w:val="22"/>
        </w:rPr>
        <w:t xml:space="preserve"> Wald-based. </w:t>
      </w:r>
      <w:r w:rsidR="00CB0044">
        <w:rPr>
          <w:sz w:val="22"/>
          <w:szCs w:val="22"/>
        </w:rPr>
        <w:t xml:space="preserve"> </w:t>
      </w:r>
    </w:p>
    <w:p w:rsidR="00E56390" w:rsidRDefault="00E56390" w:rsidP="00E56390">
      <w:pPr>
        <w:autoSpaceDE w:val="0"/>
        <w:autoSpaceDN w:val="0"/>
        <w:adjustRightInd w:val="0"/>
        <w:spacing w:after="120"/>
        <w:ind w:left="1440"/>
        <w:rPr>
          <w:sz w:val="22"/>
          <w:szCs w:val="22"/>
        </w:rPr>
      </w:pPr>
      <w:commentRangeStart w:id="28"/>
      <w:r w:rsidRPr="00AD4EC8">
        <w:rPr>
          <w:b/>
          <w:sz w:val="22"/>
          <w:szCs w:val="22"/>
          <w:u w:val="single"/>
        </w:rPr>
        <w:t>Inference</w:t>
      </w:r>
      <w:commentRangeEnd w:id="28"/>
      <w:r w:rsidR="00C71422">
        <w:rPr>
          <w:rStyle w:val="CommentReference"/>
        </w:rPr>
        <w:commentReference w:id="28"/>
      </w:r>
      <w:r w:rsidRPr="00AD4EC8">
        <w:rPr>
          <w:b/>
          <w:sz w:val="22"/>
          <w:szCs w:val="22"/>
          <w:u w:val="single"/>
        </w:rPr>
        <w:t>:</w:t>
      </w:r>
      <w:r>
        <w:rPr>
          <w:sz w:val="22"/>
          <w:szCs w:val="22"/>
        </w:rPr>
        <w:t xml:space="preserve"> </w:t>
      </w:r>
      <w:commentRangeStart w:id="29"/>
      <w:r>
        <w:rPr>
          <w:sz w:val="22"/>
          <w:szCs w:val="22"/>
        </w:rPr>
        <w:t>Using p</w:t>
      </w:r>
      <w:commentRangeEnd w:id="29"/>
      <w:r w:rsidR="00FF2562">
        <w:rPr>
          <w:rStyle w:val="CommentReference"/>
        </w:rPr>
        <w:commentReference w:id="29"/>
      </w:r>
      <w:r>
        <w:rPr>
          <w:sz w:val="22"/>
          <w:szCs w:val="22"/>
        </w:rPr>
        <w:t xml:space="preserve">roportional hazards regression, we estimate that for each </w:t>
      </w:r>
      <w:r w:rsidR="00F61661">
        <w:rPr>
          <w:sz w:val="22"/>
          <w:szCs w:val="22"/>
        </w:rPr>
        <w:t xml:space="preserve">doubling </w:t>
      </w:r>
      <w:r>
        <w:rPr>
          <w:sz w:val="22"/>
          <w:szCs w:val="22"/>
        </w:rPr>
        <w:t xml:space="preserve">of bilirubin, the risk of (all-cause) mortality is </w:t>
      </w:r>
      <w:r w:rsidR="00F61661">
        <w:rPr>
          <w:sz w:val="22"/>
          <w:szCs w:val="22"/>
        </w:rPr>
        <w:t>98.4</w:t>
      </w:r>
      <w:r>
        <w:rPr>
          <w:sz w:val="22"/>
          <w:szCs w:val="22"/>
        </w:rPr>
        <w:t xml:space="preserve">% higher for those subjects with greater bilirubin. </w:t>
      </w:r>
      <w:commentRangeStart w:id="30"/>
      <w:r>
        <w:rPr>
          <w:sz w:val="22"/>
          <w:szCs w:val="22"/>
        </w:rPr>
        <w:t xml:space="preserve">This observation is consistent with a group </w:t>
      </w:r>
      <w:r w:rsidR="00F61661">
        <w:rPr>
          <w:sz w:val="22"/>
          <w:szCs w:val="22"/>
        </w:rPr>
        <w:t>that has twice as much</w:t>
      </w:r>
      <w:r>
        <w:rPr>
          <w:sz w:val="22"/>
          <w:szCs w:val="22"/>
        </w:rPr>
        <w:t xml:space="preserve"> bilirubin</w:t>
      </w:r>
      <w:r w:rsidR="00F61661">
        <w:rPr>
          <w:sz w:val="22"/>
          <w:szCs w:val="22"/>
        </w:rPr>
        <w:t xml:space="preserve"> as another</w:t>
      </w:r>
      <w:r>
        <w:rPr>
          <w:sz w:val="22"/>
          <w:szCs w:val="22"/>
        </w:rPr>
        <w:t xml:space="preserve"> having a risk of mortality between </w:t>
      </w:r>
      <w:r w:rsidR="00F61661">
        <w:rPr>
          <w:sz w:val="22"/>
          <w:szCs w:val="22"/>
        </w:rPr>
        <w:t xml:space="preserve">1.78 to 2.21 times </w:t>
      </w:r>
      <w:r>
        <w:rPr>
          <w:sz w:val="22"/>
          <w:szCs w:val="22"/>
        </w:rPr>
        <w:t xml:space="preserve">higher </w:t>
      </w:r>
      <w:commentRangeEnd w:id="30"/>
      <w:r w:rsidR="00FF2562">
        <w:rPr>
          <w:rStyle w:val="CommentReference"/>
        </w:rPr>
        <w:commentReference w:id="30"/>
      </w:r>
      <w:r>
        <w:rPr>
          <w:sz w:val="22"/>
          <w:szCs w:val="22"/>
        </w:rPr>
        <w:t>than the lower bilirubin group, based on a 95% confidence interval. This estimate is</w:t>
      </w:r>
      <w:r w:rsidR="00CB0044">
        <w:rPr>
          <w:sz w:val="22"/>
          <w:szCs w:val="22"/>
        </w:rPr>
        <w:t xml:space="preserve"> statistically significant (p &lt; </w:t>
      </w:r>
      <w:r>
        <w:rPr>
          <w:sz w:val="22"/>
          <w:szCs w:val="22"/>
        </w:rPr>
        <w:t xml:space="preserve">0.001), so we can with high confidence reject the null hypothesis that there is no association between bilirubin and all-cause mortality. </w:t>
      </w:r>
    </w:p>
    <w:p w:rsidR="00115B08" w:rsidRDefault="00A620A3" w:rsidP="00FB55D3">
      <w:pPr>
        <w:numPr>
          <w:ilvl w:val="1"/>
          <w:numId w:val="19"/>
        </w:numPr>
        <w:autoSpaceDE w:val="0"/>
        <w:autoSpaceDN w:val="0"/>
        <w:adjustRightInd w:val="0"/>
        <w:spacing w:after="120"/>
        <w:rPr>
          <w:sz w:val="22"/>
          <w:szCs w:val="22"/>
        </w:rPr>
      </w:pPr>
      <w:r>
        <w:rPr>
          <w:sz w:val="22"/>
          <w:szCs w:val="22"/>
        </w:rPr>
        <w:t xml:space="preserve">For each population defined by serum </w:t>
      </w:r>
      <w:r w:rsidR="002777EC">
        <w:rPr>
          <w:sz w:val="22"/>
          <w:szCs w:val="22"/>
        </w:rPr>
        <w:t>bilirubin</w:t>
      </w:r>
      <w:r>
        <w:rPr>
          <w:sz w:val="22"/>
          <w:szCs w:val="22"/>
        </w:rPr>
        <w:t xml:space="preserve"> value, compute the hazard ratio relative to</w:t>
      </w:r>
      <w:r w:rsidR="002777EC">
        <w:rPr>
          <w:sz w:val="22"/>
          <w:szCs w:val="22"/>
        </w:rPr>
        <w:t xml:space="preserve"> a group having serum LDL of 1</w:t>
      </w:r>
      <w:r>
        <w:rPr>
          <w:sz w:val="22"/>
          <w:szCs w:val="22"/>
        </w:rPr>
        <w:t xml:space="preserve"> mg/dL.</w:t>
      </w:r>
      <w:r w:rsidR="00E01E38">
        <w:rPr>
          <w:sz w:val="22"/>
          <w:szCs w:val="22"/>
        </w:rPr>
        <w:t xml:space="preserve"> (This will be used in problem 6</w:t>
      </w:r>
      <w:r w:rsidR="00FB55D3">
        <w:rPr>
          <w:sz w:val="22"/>
          <w:szCs w:val="22"/>
        </w:rPr>
        <w:t>).</w:t>
      </w:r>
    </w:p>
    <w:p w:rsidR="00FB55D3" w:rsidRDefault="00FB55D3" w:rsidP="00FB55D3">
      <w:pPr>
        <w:autoSpaceDE w:val="0"/>
        <w:autoSpaceDN w:val="0"/>
        <w:adjustRightInd w:val="0"/>
        <w:spacing w:after="120"/>
        <w:ind w:left="1440"/>
        <w:rPr>
          <w:sz w:val="22"/>
          <w:szCs w:val="22"/>
        </w:rPr>
      </w:pPr>
    </w:p>
    <w:p w:rsidR="00353EFD" w:rsidRDefault="00353EFD" w:rsidP="00E01E38">
      <w:pPr>
        <w:autoSpaceDE w:val="0"/>
        <w:autoSpaceDN w:val="0"/>
        <w:adjustRightInd w:val="0"/>
        <w:spacing w:after="120"/>
        <w:ind w:left="1440"/>
        <w:rPr>
          <w:sz w:val="22"/>
          <w:szCs w:val="22"/>
        </w:rPr>
      </w:pPr>
    </w:p>
    <w:p w:rsidR="00E01E38" w:rsidRDefault="00E01E38" w:rsidP="00E01E38">
      <w:pPr>
        <w:numPr>
          <w:ilvl w:val="0"/>
          <w:numId w:val="19"/>
        </w:numPr>
        <w:autoSpaceDE w:val="0"/>
        <w:autoSpaceDN w:val="0"/>
        <w:adjustRightInd w:val="0"/>
        <w:spacing w:after="120"/>
        <w:rPr>
          <w:sz w:val="22"/>
          <w:szCs w:val="22"/>
        </w:rPr>
      </w:pPr>
      <w:r>
        <w:rPr>
          <w:sz w:val="22"/>
          <w:szCs w:val="22"/>
        </w:rPr>
        <w:t xml:space="preserve">One approach to testing to see whether an association between the response and the predictor of interest is adequately modeled by an untransformed continuous variable is to add some other transformation to the model and see if that added covariate provides statistically significant improved “fit” of the data. In this case, we could test for “linearity” of the bilirubin association with the log hazard ratio by including both the untransformed and log transformed bilirubin. (Other alternatives might have been bilirubin and bilirubin squared, but in this case our </w:t>
      </w:r>
      <w:r>
        <w:rPr>
          <w:i/>
          <w:iCs/>
          <w:sz w:val="22"/>
          <w:szCs w:val="22"/>
        </w:rPr>
        <w:t xml:space="preserve">a priori </w:t>
      </w:r>
      <w:r>
        <w:rPr>
          <w:sz w:val="22"/>
          <w:szCs w:val="22"/>
        </w:rPr>
        <w:t xml:space="preserve">interest in the log bilirubin might drive us to the specified analysis.) </w:t>
      </w:r>
    </w:p>
    <w:p w:rsidR="00D610F0" w:rsidRDefault="00D610F0" w:rsidP="00D610F0">
      <w:pPr>
        <w:autoSpaceDE w:val="0"/>
        <w:autoSpaceDN w:val="0"/>
        <w:adjustRightInd w:val="0"/>
        <w:spacing w:after="120"/>
        <w:ind w:left="720"/>
        <w:rPr>
          <w:sz w:val="22"/>
          <w:szCs w:val="22"/>
        </w:rPr>
      </w:pPr>
    </w:p>
    <w:p w:rsidR="00E01E38" w:rsidRDefault="00927CF6" w:rsidP="00E01E38">
      <w:pPr>
        <w:numPr>
          <w:ilvl w:val="1"/>
          <w:numId w:val="19"/>
        </w:numPr>
        <w:autoSpaceDE w:val="0"/>
        <w:autoSpaceDN w:val="0"/>
        <w:adjustRightInd w:val="0"/>
        <w:spacing w:after="120"/>
        <w:rPr>
          <w:sz w:val="22"/>
          <w:szCs w:val="22"/>
        </w:rPr>
      </w:pPr>
      <w:r>
        <w:rPr>
          <w:sz w:val="22"/>
          <w:szCs w:val="22"/>
        </w:rPr>
        <w:t>Provide full inference related to the question of whether the association is linear.</w:t>
      </w:r>
    </w:p>
    <w:p w:rsidR="00353EFD" w:rsidRDefault="00353EFD" w:rsidP="007C1E0C">
      <w:pPr>
        <w:autoSpaceDE w:val="0"/>
        <w:autoSpaceDN w:val="0"/>
        <w:adjustRightInd w:val="0"/>
        <w:spacing w:after="120"/>
        <w:ind w:left="1080"/>
        <w:rPr>
          <w:sz w:val="22"/>
          <w:szCs w:val="22"/>
        </w:rPr>
      </w:pPr>
      <w:commentRangeStart w:id="31"/>
      <w:r w:rsidRPr="001F76DB">
        <w:rPr>
          <w:b/>
          <w:sz w:val="22"/>
          <w:szCs w:val="22"/>
          <w:u w:val="single"/>
        </w:rPr>
        <w:t>Methods:</w:t>
      </w:r>
      <w:r>
        <w:rPr>
          <w:sz w:val="22"/>
          <w:szCs w:val="22"/>
        </w:rPr>
        <w:t xml:space="preserve"> </w:t>
      </w:r>
      <w:commentRangeEnd w:id="31"/>
      <w:r w:rsidR="00FF2562">
        <w:rPr>
          <w:rStyle w:val="CommentReference"/>
        </w:rPr>
        <w:commentReference w:id="31"/>
      </w:r>
      <w:r w:rsidR="003B6D55">
        <w:rPr>
          <w:sz w:val="22"/>
          <w:szCs w:val="22"/>
        </w:rPr>
        <w:t>We used a</w:t>
      </w:r>
      <w:r>
        <w:rPr>
          <w:sz w:val="22"/>
          <w:szCs w:val="22"/>
        </w:rPr>
        <w:t xml:space="preserve"> proportional hazards regression </w:t>
      </w:r>
      <w:r w:rsidR="003B6D55">
        <w:rPr>
          <w:sz w:val="22"/>
          <w:szCs w:val="22"/>
        </w:rPr>
        <w:t xml:space="preserve">model that included linear and log-transformed bilirubin </w:t>
      </w:r>
      <w:r w:rsidR="00AB6FAD">
        <w:rPr>
          <w:sz w:val="22"/>
          <w:szCs w:val="22"/>
        </w:rPr>
        <w:t xml:space="preserve">terms </w:t>
      </w:r>
      <w:r>
        <w:rPr>
          <w:sz w:val="22"/>
          <w:szCs w:val="22"/>
        </w:rPr>
        <w:t>for all 418 subjects</w:t>
      </w:r>
      <w:r w:rsidR="001F5F0A">
        <w:rPr>
          <w:sz w:val="22"/>
          <w:szCs w:val="22"/>
        </w:rPr>
        <w:t xml:space="preserve"> </w:t>
      </w:r>
      <w:commentRangeStart w:id="32"/>
      <w:r w:rsidR="001F5F0A">
        <w:rPr>
          <w:sz w:val="22"/>
          <w:szCs w:val="22"/>
        </w:rPr>
        <w:t>(where there were 161 observed deaths over 13.1 years)</w:t>
      </w:r>
      <w:r w:rsidR="003B6D55">
        <w:rPr>
          <w:sz w:val="22"/>
          <w:szCs w:val="22"/>
        </w:rPr>
        <w:t>.</w:t>
      </w:r>
      <w:r w:rsidR="00C8246E">
        <w:rPr>
          <w:sz w:val="22"/>
          <w:szCs w:val="22"/>
        </w:rPr>
        <w:t xml:space="preserve"> </w:t>
      </w:r>
      <w:commentRangeEnd w:id="32"/>
      <w:r w:rsidR="00FF2562">
        <w:rPr>
          <w:rStyle w:val="CommentReference"/>
        </w:rPr>
        <w:commentReference w:id="32"/>
      </w:r>
      <w:r w:rsidR="00C8246E">
        <w:rPr>
          <w:sz w:val="22"/>
          <w:szCs w:val="22"/>
        </w:rPr>
        <w:t xml:space="preserve">First, the association between bilirubin and mortality was assessed by testing whether both the terms were simultaneously zero. </w:t>
      </w:r>
      <w:commentRangeStart w:id="33"/>
      <w:r w:rsidR="007C1E0C">
        <w:rPr>
          <w:sz w:val="22"/>
          <w:szCs w:val="22"/>
        </w:rPr>
        <w:t xml:space="preserve">The p-value </w:t>
      </w:r>
      <w:commentRangeEnd w:id="33"/>
      <w:r w:rsidR="00FF2562">
        <w:rPr>
          <w:rStyle w:val="CommentReference"/>
        </w:rPr>
        <w:commentReference w:id="33"/>
      </w:r>
      <w:r w:rsidR="007C1E0C">
        <w:rPr>
          <w:sz w:val="22"/>
          <w:szCs w:val="22"/>
        </w:rPr>
        <w:t>for this 2 df test was based on Wald estimates that used robust standard error estimates</w:t>
      </w:r>
      <w:commentRangeStart w:id="34"/>
      <w:r w:rsidR="007C1E0C">
        <w:rPr>
          <w:sz w:val="22"/>
          <w:szCs w:val="22"/>
        </w:rPr>
        <w:t xml:space="preserve">. Next, the linearity of this association was tested using a Wald test that the slope of the log-transformed term was zero, using robust standard error estimates again. </w:t>
      </w:r>
      <w:commentRangeEnd w:id="34"/>
      <w:r w:rsidR="00FF2562">
        <w:rPr>
          <w:rStyle w:val="CommentReference"/>
        </w:rPr>
        <w:commentReference w:id="34"/>
      </w:r>
    </w:p>
    <w:p w:rsidR="00353EFD" w:rsidRDefault="00353EFD" w:rsidP="00353EFD">
      <w:pPr>
        <w:autoSpaceDE w:val="0"/>
        <w:autoSpaceDN w:val="0"/>
        <w:adjustRightInd w:val="0"/>
        <w:spacing w:after="120"/>
        <w:ind w:left="1080"/>
        <w:rPr>
          <w:sz w:val="22"/>
          <w:szCs w:val="22"/>
        </w:rPr>
      </w:pPr>
      <w:commentRangeStart w:id="35"/>
      <w:r w:rsidRPr="00AD4EC8">
        <w:rPr>
          <w:b/>
          <w:sz w:val="22"/>
          <w:szCs w:val="22"/>
          <w:u w:val="single"/>
        </w:rPr>
        <w:t>Inference:</w:t>
      </w:r>
      <w:r>
        <w:rPr>
          <w:sz w:val="22"/>
          <w:szCs w:val="22"/>
        </w:rPr>
        <w:t xml:space="preserve"> </w:t>
      </w:r>
      <w:commentRangeEnd w:id="35"/>
      <w:r w:rsidR="00FF2562">
        <w:rPr>
          <w:rStyle w:val="CommentReference"/>
        </w:rPr>
        <w:commentReference w:id="35"/>
      </w:r>
      <w:r>
        <w:rPr>
          <w:sz w:val="22"/>
          <w:szCs w:val="22"/>
        </w:rPr>
        <w:t xml:space="preserve">Using </w:t>
      </w:r>
      <w:r w:rsidR="00AB6FAD">
        <w:rPr>
          <w:sz w:val="22"/>
          <w:szCs w:val="22"/>
        </w:rPr>
        <w:t xml:space="preserve">a </w:t>
      </w:r>
      <w:r>
        <w:rPr>
          <w:sz w:val="22"/>
          <w:szCs w:val="22"/>
        </w:rPr>
        <w:t>proportional hazards regression</w:t>
      </w:r>
      <w:r w:rsidR="00AB6FAD">
        <w:rPr>
          <w:sz w:val="22"/>
          <w:szCs w:val="22"/>
        </w:rPr>
        <w:t xml:space="preserve"> that included linear and log-transformed bilirubin terms</w:t>
      </w:r>
      <w:r>
        <w:rPr>
          <w:sz w:val="22"/>
          <w:szCs w:val="22"/>
        </w:rPr>
        <w:t xml:space="preserve">, we </w:t>
      </w:r>
      <w:r w:rsidR="00AB6FAD">
        <w:rPr>
          <w:sz w:val="22"/>
          <w:szCs w:val="22"/>
        </w:rPr>
        <w:t xml:space="preserve">see that </w:t>
      </w:r>
      <w:r w:rsidR="00865FF4">
        <w:rPr>
          <w:sz w:val="22"/>
          <w:szCs w:val="22"/>
        </w:rPr>
        <w:t xml:space="preserve">there is an association between bilirubin and death that is statistically significant (p&lt;0.001). Testing for nonlinearity by looking at the log bilirubin term in the model, we see that the value is highly statistically significant (p&lt;0.001). </w:t>
      </w:r>
      <w:commentRangeStart w:id="36"/>
      <w:r w:rsidR="00865FF4">
        <w:rPr>
          <w:sz w:val="22"/>
          <w:szCs w:val="22"/>
        </w:rPr>
        <w:t>Therefore, we can say with high confidence that the association between bilirubin and mortality is not adequately modeled by a log hazard function that uses untransformed (linear) bilirubin.</w:t>
      </w:r>
      <w:commentRangeEnd w:id="36"/>
      <w:r w:rsidR="00FF2562">
        <w:rPr>
          <w:rStyle w:val="CommentReference"/>
        </w:rPr>
        <w:commentReference w:id="36"/>
      </w:r>
    </w:p>
    <w:p w:rsidR="00353EFD" w:rsidRDefault="00353EFD" w:rsidP="00353EFD">
      <w:pPr>
        <w:autoSpaceDE w:val="0"/>
        <w:autoSpaceDN w:val="0"/>
        <w:adjustRightInd w:val="0"/>
        <w:spacing w:after="120"/>
        <w:ind w:left="1440"/>
        <w:rPr>
          <w:sz w:val="22"/>
          <w:szCs w:val="22"/>
        </w:rPr>
      </w:pPr>
    </w:p>
    <w:p w:rsidR="00E01E38" w:rsidRDefault="00E01E38" w:rsidP="00E01E38">
      <w:pPr>
        <w:numPr>
          <w:ilvl w:val="1"/>
          <w:numId w:val="19"/>
        </w:numPr>
        <w:autoSpaceDE w:val="0"/>
        <w:autoSpaceDN w:val="0"/>
        <w:adjustRightInd w:val="0"/>
        <w:spacing w:after="120"/>
        <w:rPr>
          <w:sz w:val="22"/>
          <w:szCs w:val="22"/>
        </w:rPr>
      </w:pPr>
      <w:r>
        <w:rPr>
          <w:sz w:val="22"/>
          <w:szCs w:val="22"/>
        </w:rPr>
        <w:t>Again, save the fitted values from this model by obtaining the estimated HRs relative to a group with bilirubin of 1 mg/dl. (This will be used in problem 6.)</w:t>
      </w:r>
    </w:p>
    <w:p w:rsidR="00D610F0" w:rsidRDefault="00D610F0" w:rsidP="00D610F0">
      <w:pPr>
        <w:autoSpaceDE w:val="0"/>
        <w:autoSpaceDN w:val="0"/>
        <w:adjustRightInd w:val="0"/>
        <w:spacing w:after="120"/>
        <w:rPr>
          <w:sz w:val="22"/>
          <w:szCs w:val="22"/>
        </w:rPr>
      </w:pPr>
    </w:p>
    <w:p w:rsidR="00E01E38" w:rsidRDefault="00E01E38" w:rsidP="00E01E38">
      <w:pPr>
        <w:numPr>
          <w:ilvl w:val="0"/>
          <w:numId w:val="19"/>
        </w:numPr>
        <w:autoSpaceDE w:val="0"/>
        <w:autoSpaceDN w:val="0"/>
        <w:adjustRightInd w:val="0"/>
        <w:spacing w:after="120"/>
        <w:rPr>
          <w:sz w:val="22"/>
          <w:szCs w:val="22"/>
        </w:rPr>
      </w:pPr>
      <w:commentRangeStart w:id="37"/>
      <w:r>
        <w:rPr>
          <w:sz w:val="22"/>
          <w:szCs w:val="22"/>
        </w:rPr>
        <w:lastRenderedPageBreak/>
        <w:t xml:space="preserve">Display </w:t>
      </w:r>
      <w:commentRangeEnd w:id="37"/>
      <w:r w:rsidR="008A3B78">
        <w:rPr>
          <w:rStyle w:val="CommentReference"/>
        </w:rPr>
        <w:commentReference w:id="37"/>
      </w:r>
      <w:r>
        <w:rPr>
          <w:sz w:val="22"/>
          <w:szCs w:val="22"/>
        </w:rPr>
        <w:t>a graph with the fitted hazard ratios from problems 3 - 5. Comment on any similarities or differences of the fitted values from the three models.</w:t>
      </w:r>
    </w:p>
    <w:p w:rsidR="00353EFD" w:rsidRDefault="00105EC3" w:rsidP="00203B0F">
      <w:pPr>
        <w:autoSpaceDE w:val="0"/>
        <w:autoSpaceDN w:val="0"/>
        <w:adjustRightInd w:val="0"/>
        <w:spacing w:after="120"/>
        <w:ind w:left="720"/>
        <w:jc w:val="center"/>
        <w:rPr>
          <w:sz w:val="22"/>
          <w:szCs w:val="22"/>
        </w:rPr>
      </w:pPr>
      <w:r>
        <w:rPr>
          <w:noProof/>
          <w:sz w:val="22"/>
          <w:szCs w:val="22"/>
        </w:rPr>
        <w:drawing>
          <wp:inline distT="0" distB="0" distL="0" distR="0">
            <wp:extent cx="4739005" cy="3474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739005" cy="3474720"/>
                    </a:xfrm>
                    <a:prstGeom prst="rect">
                      <a:avLst/>
                    </a:prstGeom>
                    <a:noFill/>
                    <a:ln w="9525">
                      <a:noFill/>
                      <a:miter lim="800000"/>
                      <a:headEnd/>
                      <a:tailEnd/>
                    </a:ln>
                  </pic:spPr>
                </pic:pic>
              </a:graphicData>
            </a:graphic>
          </wp:inline>
        </w:drawing>
      </w:r>
    </w:p>
    <w:p w:rsidR="003F3B8E" w:rsidRDefault="003F3B8E" w:rsidP="00353EFD">
      <w:pPr>
        <w:autoSpaceDE w:val="0"/>
        <w:autoSpaceDN w:val="0"/>
        <w:adjustRightInd w:val="0"/>
        <w:spacing w:after="120"/>
        <w:ind w:left="720"/>
        <w:rPr>
          <w:sz w:val="22"/>
          <w:szCs w:val="22"/>
        </w:rPr>
      </w:pPr>
      <w:commentRangeStart w:id="38"/>
      <w:r w:rsidRPr="003F3B8E">
        <w:rPr>
          <w:b/>
          <w:sz w:val="22"/>
          <w:szCs w:val="22"/>
          <w:u w:val="single"/>
        </w:rPr>
        <w:t>Answer</w:t>
      </w:r>
      <w:r>
        <w:rPr>
          <w:sz w:val="22"/>
          <w:szCs w:val="22"/>
        </w:rPr>
        <w:t xml:space="preserve">: </w:t>
      </w:r>
      <w:commentRangeEnd w:id="38"/>
      <w:r w:rsidR="00F813F8">
        <w:rPr>
          <w:rStyle w:val="CommentReference"/>
        </w:rPr>
        <w:commentReference w:id="38"/>
      </w:r>
      <w:r w:rsidR="00203B0F">
        <w:rPr>
          <w:sz w:val="22"/>
          <w:szCs w:val="22"/>
        </w:rPr>
        <w:t xml:space="preserve">The graph above presents fitted hazard ratios from the three models in problems 3-5. </w:t>
      </w:r>
      <w:r w:rsidR="00303860">
        <w:rPr>
          <w:sz w:val="22"/>
          <w:szCs w:val="22"/>
        </w:rPr>
        <w:t>All three models predict that individuals with higher bilirubin will have a higher relative hazard of mortality. Both Models 2 and 3 are similar in their approximations until about 15 mg/dl of bilirubin, whereas Model 1 estimates a lower relative hazard than the other models until about 20 mg/dl of bilirubin, when it estimates a higher relative hazard</w:t>
      </w:r>
      <w:r w:rsidR="00675470">
        <w:rPr>
          <w:sz w:val="22"/>
          <w:szCs w:val="22"/>
        </w:rPr>
        <w:t xml:space="preserve"> than the others</w:t>
      </w:r>
      <w:r w:rsidR="00303860">
        <w:rPr>
          <w:sz w:val="22"/>
          <w:szCs w:val="22"/>
        </w:rPr>
        <w:t xml:space="preserve">. </w:t>
      </w:r>
      <w:r w:rsidR="00203B0F">
        <w:rPr>
          <w:sz w:val="22"/>
          <w:szCs w:val="22"/>
        </w:rPr>
        <w:t xml:space="preserve">Model 1 </w:t>
      </w:r>
      <w:r>
        <w:rPr>
          <w:sz w:val="22"/>
          <w:szCs w:val="22"/>
        </w:rPr>
        <w:t>appears to approxim</w:t>
      </w:r>
      <w:r w:rsidR="00675470">
        <w:rPr>
          <w:sz w:val="22"/>
          <w:szCs w:val="22"/>
        </w:rPr>
        <w:t>ate an upward curvilinear trend in relative hazards, whereas Model 3 approximates a downward curvilinear trend. Model 2 seems to predict a linear trend in the relative hazards</w:t>
      </w:r>
      <w:r>
        <w:rPr>
          <w:sz w:val="22"/>
          <w:szCs w:val="22"/>
        </w:rPr>
        <w:t xml:space="preserve">. </w:t>
      </w:r>
    </w:p>
    <w:p w:rsidR="003F3B8E" w:rsidRDefault="003F3B8E" w:rsidP="00353EFD">
      <w:pPr>
        <w:autoSpaceDE w:val="0"/>
        <w:autoSpaceDN w:val="0"/>
        <w:adjustRightInd w:val="0"/>
        <w:spacing w:after="120"/>
        <w:ind w:left="720"/>
        <w:rPr>
          <w:sz w:val="22"/>
          <w:szCs w:val="22"/>
        </w:rPr>
      </w:pPr>
    </w:p>
    <w:p w:rsidR="00D610F0" w:rsidRDefault="00D610F0" w:rsidP="00353EFD">
      <w:pPr>
        <w:autoSpaceDE w:val="0"/>
        <w:autoSpaceDN w:val="0"/>
        <w:adjustRightInd w:val="0"/>
        <w:spacing w:after="120"/>
        <w:ind w:left="720"/>
        <w:rPr>
          <w:sz w:val="22"/>
          <w:szCs w:val="22"/>
        </w:rPr>
      </w:pPr>
    </w:p>
    <w:p w:rsidR="00927CF6" w:rsidRDefault="00927CF6" w:rsidP="00927CF6">
      <w:pPr>
        <w:numPr>
          <w:ilvl w:val="0"/>
          <w:numId w:val="19"/>
        </w:numPr>
        <w:autoSpaceDE w:val="0"/>
        <w:autoSpaceDN w:val="0"/>
        <w:adjustRightInd w:val="0"/>
        <w:spacing w:after="120"/>
        <w:rPr>
          <w:sz w:val="22"/>
          <w:szCs w:val="22"/>
        </w:rPr>
      </w:pPr>
      <w:commentRangeStart w:id="39"/>
      <w:r>
        <w:rPr>
          <w:sz w:val="22"/>
          <w:szCs w:val="22"/>
        </w:rPr>
        <w:t xml:space="preserve">We are </w:t>
      </w:r>
      <w:commentRangeEnd w:id="39"/>
      <w:r w:rsidR="00105EC3">
        <w:rPr>
          <w:rStyle w:val="CommentReference"/>
        </w:rPr>
        <w:commentReference w:id="39"/>
      </w:r>
      <w:r>
        <w:rPr>
          <w:sz w:val="22"/>
          <w:szCs w:val="22"/>
        </w:rPr>
        <w:t>interested in considering analyses of the association between all cause mortality and serum bilirubin after adjustment for age and sex.</w:t>
      </w:r>
    </w:p>
    <w:p w:rsidR="00927CF6" w:rsidRDefault="00927CF6" w:rsidP="00927CF6">
      <w:pPr>
        <w:numPr>
          <w:ilvl w:val="1"/>
          <w:numId w:val="19"/>
        </w:numPr>
        <w:autoSpaceDE w:val="0"/>
        <w:autoSpaceDN w:val="0"/>
        <w:adjustRightInd w:val="0"/>
        <w:spacing w:after="120"/>
        <w:rPr>
          <w:sz w:val="22"/>
          <w:szCs w:val="22"/>
        </w:rPr>
      </w:pPr>
      <w:r>
        <w:rPr>
          <w:sz w:val="22"/>
          <w:szCs w:val="22"/>
        </w:rPr>
        <w:t xml:space="preserve">What evidence is present in the data that would make you think that either sex or age might have confounded the association between death and bilirubin? </w:t>
      </w:r>
    </w:p>
    <w:p w:rsidR="00C51D75" w:rsidRDefault="00C51D75" w:rsidP="00C51D75">
      <w:pPr>
        <w:autoSpaceDE w:val="0"/>
        <w:autoSpaceDN w:val="0"/>
        <w:adjustRightInd w:val="0"/>
        <w:spacing w:after="120"/>
        <w:ind w:left="1440"/>
        <w:rPr>
          <w:sz w:val="22"/>
          <w:szCs w:val="22"/>
        </w:rPr>
      </w:pPr>
      <w:r w:rsidRPr="00C34D39">
        <w:rPr>
          <w:b/>
          <w:sz w:val="22"/>
          <w:szCs w:val="22"/>
          <w:u w:val="single"/>
        </w:rPr>
        <w:t>Answer</w:t>
      </w:r>
      <w:r>
        <w:rPr>
          <w:sz w:val="22"/>
          <w:szCs w:val="22"/>
        </w:rPr>
        <w:t>: When adding sex and age into the model, we see that the effect of bilirubin on death increases from the unadjusted model.</w:t>
      </w:r>
      <w:commentRangeStart w:id="40"/>
      <w:r>
        <w:rPr>
          <w:sz w:val="22"/>
          <w:szCs w:val="22"/>
        </w:rPr>
        <w:t xml:space="preserve"> With a doubling of bilirubin, the hazard ratio changes from 1.98 times higher (unadjusted) to 2.11 times higher (adjusted). </w:t>
      </w:r>
      <w:commentRangeEnd w:id="40"/>
      <w:r w:rsidR="00105EC3">
        <w:rPr>
          <w:rStyle w:val="CommentReference"/>
        </w:rPr>
        <w:commentReference w:id="40"/>
      </w:r>
      <w:r w:rsidR="001320AA">
        <w:rPr>
          <w:sz w:val="22"/>
          <w:szCs w:val="22"/>
        </w:rPr>
        <w:t>We could a</w:t>
      </w:r>
      <w:r>
        <w:rPr>
          <w:sz w:val="22"/>
          <w:szCs w:val="22"/>
        </w:rPr>
        <w:t>lso</w:t>
      </w:r>
      <w:r w:rsidR="001320AA">
        <w:rPr>
          <w:sz w:val="22"/>
          <w:szCs w:val="22"/>
        </w:rPr>
        <w:t xml:space="preserve"> see from Table 1 that </w:t>
      </w:r>
      <w:r>
        <w:rPr>
          <w:sz w:val="22"/>
          <w:szCs w:val="22"/>
        </w:rPr>
        <w:t xml:space="preserve">age </w:t>
      </w:r>
      <w:r w:rsidR="001320AA">
        <w:rPr>
          <w:sz w:val="22"/>
          <w:szCs w:val="22"/>
        </w:rPr>
        <w:t xml:space="preserve">and sex appear to be associated with mortality in the sample. </w:t>
      </w:r>
      <w:r>
        <w:rPr>
          <w:sz w:val="22"/>
          <w:szCs w:val="22"/>
        </w:rPr>
        <w:t xml:space="preserve"> </w:t>
      </w:r>
      <w:commentRangeStart w:id="41"/>
      <w:r w:rsidR="001320AA">
        <w:rPr>
          <w:sz w:val="22"/>
          <w:szCs w:val="22"/>
        </w:rPr>
        <w:t>Furthermore, sex appears to be associated with bilirubin (table not presented).</w:t>
      </w:r>
      <w:r w:rsidR="001A1479">
        <w:rPr>
          <w:sz w:val="22"/>
          <w:szCs w:val="22"/>
        </w:rPr>
        <w:t xml:space="preserve"> </w:t>
      </w:r>
      <w:commentRangeEnd w:id="41"/>
      <w:r w:rsidR="00105EC3">
        <w:rPr>
          <w:rStyle w:val="CommentReference"/>
        </w:rPr>
        <w:commentReference w:id="41"/>
      </w:r>
    </w:p>
    <w:p w:rsidR="008851AD" w:rsidRDefault="008851AD" w:rsidP="00C51D75">
      <w:pPr>
        <w:autoSpaceDE w:val="0"/>
        <w:autoSpaceDN w:val="0"/>
        <w:adjustRightInd w:val="0"/>
        <w:spacing w:after="120"/>
        <w:ind w:left="1440"/>
        <w:rPr>
          <w:sz w:val="22"/>
          <w:szCs w:val="22"/>
        </w:rPr>
      </w:pPr>
    </w:p>
    <w:p w:rsidR="00927CF6" w:rsidRDefault="00927CF6" w:rsidP="00927CF6">
      <w:pPr>
        <w:numPr>
          <w:ilvl w:val="1"/>
          <w:numId w:val="19"/>
        </w:numPr>
        <w:autoSpaceDE w:val="0"/>
        <w:autoSpaceDN w:val="0"/>
        <w:adjustRightInd w:val="0"/>
        <w:spacing w:after="120"/>
        <w:rPr>
          <w:sz w:val="22"/>
          <w:szCs w:val="22"/>
        </w:rPr>
      </w:pPr>
      <w:commentRangeStart w:id="42"/>
      <w:r>
        <w:rPr>
          <w:sz w:val="22"/>
          <w:szCs w:val="22"/>
        </w:rPr>
        <w:t xml:space="preserve">What </w:t>
      </w:r>
      <w:commentRangeEnd w:id="42"/>
      <w:r w:rsidR="00105EC3">
        <w:rPr>
          <w:rStyle w:val="CommentReference"/>
        </w:rPr>
        <w:commentReference w:id="42"/>
      </w:r>
      <w:r>
        <w:rPr>
          <w:sz w:val="22"/>
          <w:szCs w:val="22"/>
        </w:rPr>
        <w:t>evidence is present in the data that would make you think that either sex or age might have added precision to the analysis of the association between death and bilirubin? (In real life, we would ideally decide whether to adjust in our pre-specified SAP).</w:t>
      </w:r>
    </w:p>
    <w:p w:rsidR="009277AB" w:rsidRDefault="00C34D39" w:rsidP="009277AB">
      <w:pPr>
        <w:autoSpaceDE w:val="0"/>
        <w:autoSpaceDN w:val="0"/>
        <w:adjustRightInd w:val="0"/>
        <w:spacing w:after="120"/>
        <w:ind w:left="1440"/>
        <w:rPr>
          <w:sz w:val="22"/>
          <w:szCs w:val="22"/>
        </w:rPr>
      </w:pPr>
      <w:r w:rsidRPr="006B5405">
        <w:rPr>
          <w:b/>
          <w:sz w:val="22"/>
          <w:szCs w:val="22"/>
          <w:u w:val="single"/>
        </w:rPr>
        <w:lastRenderedPageBreak/>
        <w:t>Answer</w:t>
      </w:r>
      <w:r>
        <w:rPr>
          <w:sz w:val="22"/>
          <w:szCs w:val="22"/>
        </w:rPr>
        <w:t xml:space="preserve">: </w:t>
      </w:r>
      <w:commentRangeStart w:id="43"/>
      <w:r w:rsidR="009277AB">
        <w:rPr>
          <w:sz w:val="22"/>
          <w:szCs w:val="22"/>
        </w:rPr>
        <w:t xml:space="preserve">Here, we see that including sex would lower the sample size available and thus lower precision, and additionally we see that the unadjusted standard error is smaller than the adjusted standard error. </w:t>
      </w:r>
      <w:commentRangeEnd w:id="43"/>
      <w:r w:rsidR="00105EC3">
        <w:rPr>
          <w:rStyle w:val="CommentReference"/>
        </w:rPr>
        <w:commentReference w:id="43"/>
      </w:r>
      <w:r w:rsidR="009277AB">
        <w:rPr>
          <w:sz w:val="22"/>
          <w:szCs w:val="22"/>
        </w:rPr>
        <w:t xml:space="preserve">However, </w:t>
      </w:r>
      <w:commentRangeStart w:id="44"/>
      <w:r w:rsidR="009277AB">
        <w:rPr>
          <w:sz w:val="22"/>
          <w:szCs w:val="22"/>
        </w:rPr>
        <w:t xml:space="preserve">we know that PBC </w:t>
      </w:r>
      <w:r w:rsidR="00CC0AC5">
        <w:rPr>
          <w:sz w:val="22"/>
          <w:szCs w:val="22"/>
        </w:rPr>
        <w:t>affects women more than it does men</w:t>
      </w:r>
      <w:r w:rsidR="009277AB">
        <w:rPr>
          <w:sz w:val="22"/>
          <w:szCs w:val="22"/>
        </w:rPr>
        <w:t>, so stratifying by sex may result in a more precise analysis that does not mask the effect of sex on the association between bilirubin and mortality</w:t>
      </w:r>
      <w:r w:rsidR="00CC0AC5">
        <w:rPr>
          <w:sz w:val="22"/>
          <w:szCs w:val="22"/>
        </w:rPr>
        <w:t xml:space="preserve">. </w:t>
      </w:r>
      <w:commentRangeEnd w:id="44"/>
      <w:r w:rsidR="00105EC3">
        <w:rPr>
          <w:rStyle w:val="CommentReference"/>
        </w:rPr>
        <w:commentReference w:id="44"/>
      </w:r>
      <w:commentRangeStart w:id="45"/>
      <w:r w:rsidR="009277AB">
        <w:rPr>
          <w:sz w:val="22"/>
          <w:szCs w:val="22"/>
        </w:rPr>
        <w:t xml:space="preserve">Also, we know that older individuals who develop liver disease are likely to die within 5-10 years of the initial PBC diagnosis (which typically occurs between 35-60 years of age), so stratifying on age would enable the association to </w:t>
      </w:r>
      <w:r w:rsidR="00BC4A68">
        <w:rPr>
          <w:sz w:val="22"/>
          <w:szCs w:val="22"/>
        </w:rPr>
        <w:t>be more precise between bilirubin and mortality.</w:t>
      </w:r>
      <w:commentRangeEnd w:id="45"/>
      <w:r w:rsidR="00105EC3">
        <w:rPr>
          <w:rStyle w:val="CommentReference"/>
        </w:rPr>
        <w:commentReference w:id="45"/>
      </w:r>
    </w:p>
    <w:p w:rsidR="008851AD" w:rsidRDefault="008851AD" w:rsidP="00C34D39">
      <w:pPr>
        <w:autoSpaceDE w:val="0"/>
        <w:autoSpaceDN w:val="0"/>
        <w:adjustRightInd w:val="0"/>
        <w:spacing w:after="120"/>
        <w:ind w:left="1440"/>
        <w:rPr>
          <w:sz w:val="22"/>
          <w:szCs w:val="22"/>
        </w:rPr>
      </w:pPr>
    </w:p>
    <w:p w:rsidR="00927CF6" w:rsidRDefault="00927CF6" w:rsidP="00927CF6">
      <w:pPr>
        <w:numPr>
          <w:ilvl w:val="1"/>
          <w:numId w:val="19"/>
        </w:numPr>
        <w:autoSpaceDE w:val="0"/>
        <w:autoSpaceDN w:val="0"/>
        <w:adjustRightInd w:val="0"/>
        <w:spacing w:after="120"/>
        <w:rPr>
          <w:sz w:val="22"/>
          <w:szCs w:val="22"/>
        </w:rPr>
      </w:pPr>
      <w:commentRangeStart w:id="46"/>
      <w:r>
        <w:rPr>
          <w:sz w:val="22"/>
          <w:szCs w:val="22"/>
        </w:rPr>
        <w:t xml:space="preserve">Provide </w:t>
      </w:r>
      <w:commentRangeEnd w:id="46"/>
      <w:r w:rsidR="001879C3">
        <w:rPr>
          <w:rStyle w:val="CommentReference"/>
        </w:rPr>
        <w:commentReference w:id="46"/>
      </w:r>
      <w:r>
        <w:rPr>
          <w:sz w:val="22"/>
          <w:szCs w:val="22"/>
        </w:rPr>
        <w:t>full inference regarding an association between death and bilirubin after adjustment for sex and age.</w:t>
      </w:r>
    </w:p>
    <w:p w:rsidR="00366280" w:rsidRDefault="00366280" w:rsidP="00366280">
      <w:pPr>
        <w:autoSpaceDE w:val="0"/>
        <w:autoSpaceDN w:val="0"/>
        <w:adjustRightInd w:val="0"/>
        <w:spacing w:after="120"/>
        <w:ind w:left="1080"/>
        <w:rPr>
          <w:sz w:val="22"/>
          <w:szCs w:val="22"/>
        </w:rPr>
      </w:pPr>
      <w:r w:rsidRPr="001F76DB">
        <w:rPr>
          <w:b/>
          <w:sz w:val="22"/>
          <w:szCs w:val="22"/>
          <w:u w:val="single"/>
        </w:rPr>
        <w:t>Methods:</w:t>
      </w:r>
      <w:r>
        <w:rPr>
          <w:sz w:val="22"/>
          <w:szCs w:val="22"/>
        </w:rPr>
        <w:t xml:space="preserve"> After adjusting for sex and age,</w:t>
      </w:r>
      <w:r w:rsidR="00E16252">
        <w:rPr>
          <w:sz w:val="22"/>
          <w:szCs w:val="22"/>
        </w:rPr>
        <w:t xml:space="preserve"> we used</w:t>
      </w:r>
      <w:r>
        <w:rPr>
          <w:sz w:val="22"/>
          <w:szCs w:val="22"/>
        </w:rPr>
        <w:t xml:space="preserve"> proportional hazards regression for </w:t>
      </w:r>
      <w:r w:rsidR="00E16252">
        <w:rPr>
          <w:sz w:val="22"/>
          <w:szCs w:val="22"/>
        </w:rPr>
        <w:t>the 312</w:t>
      </w:r>
      <w:r>
        <w:rPr>
          <w:sz w:val="22"/>
          <w:szCs w:val="22"/>
        </w:rPr>
        <w:t xml:space="preserve"> subjects</w:t>
      </w:r>
      <w:r w:rsidR="00E16252">
        <w:rPr>
          <w:sz w:val="22"/>
          <w:szCs w:val="22"/>
        </w:rPr>
        <w:t xml:space="preserve"> with available data for sex (106 missing cases)</w:t>
      </w:r>
      <w:r w:rsidR="001F5F0A">
        <w:rPr>
          <w:sz w:val="22"/>
          <w:szCs w:val="22"/>
        </w:rPr>
        <w:t>, age, bilirubin, and mortality,</w:t>
      </w:r>
      <w:r w:rsidR="00E16252">
        <w:rPr>
          <w:sz w:val="22"/>
          <w:szCs w:val="22"/>
        </w:rPr>
        <w:t xml:space="preserve"> where </w:t>
      </w:r>
      <w:commentRangeStart w:id="47"/>
      <w:r w:rsidR="00E16252">
        <w:rPr>
          <w:sz w:val="22"/>
          <w:szCs w:val="22"/>
        </w:rPr>
        <w:t xml:space="preserve">there were 125 </w:t>
      </w:r>
      <w:r w:rsidR="001F5F0A">
        <w:rPr>
          <w:sz w:val="22"/>
          <w:szCs w:val="22"/>
        </w:rPr>
        <w:t xml:space="preserve">observed </w:t>
      </w:r>
      <w:r w:rsidR="00E16252">
        <w:rPr>
          <w:sz w:val="22"/>
          <w:szCs w:val="22"/>
        </w:rPr>
        <w:t>deaths</w:t>
      </w:r>
      <w:r w:rsidR="001F5F0A">
        <w:rPr>
          <w:sz w:val="22"/>
          <w:szCs w:val="22"/>
        </w:rPr>
        <w:t xml:space="preserve"> over 13.1 years</w:t>
      </w:r>
      <w:r w:rsidR="00E16252">
        <w:rPr>
          <w:sz w:val="22"/>
          <w:szCs w:val="22"/>
        </w:rPr>
        <w:t>.</w:t>
      </w:r>
      <w:r>
        <w:rPr>
          <w:sz w:val="22"/>
          <w:szCs w:val="22"/>
        </w:rPr>
        <w:t xml:space="preserve"> </w:t>
      </w:r>
      <w:commentRangeEnd w:id="47"/>
      <w:r w:rsidR="00105EC3">
        <w:rPr>
          <w:rStyle w:val="CommentReference"/>
        </w:rPr>
        <w:commentReference w:id="47"/>
      </w:r>
      <w:r w:rsidR="00E16252">
        <w:rPr>
          <w:sz w:val="22"/>
          <w:szCs w:val="22"/>
        </w:rPr>
        <w:t>W</w:t>
      </w:r>
      <w:r>
        <w:rPr>
          <w:sz w:val="22"/>
          <w:szCs w:val="22"/>
        </w:rPr>
        <w:t>e estimate</w:t>
      </w:r>
      <w:r w:rsidR="00DA63AD">
        <w:rPr>
          <w:sz w:val="22"/>
          <w:szCs w:val="22"/>
        </w:rPr>
        <w:t>d</w:t>
      </w:r>
      <w:r>
        <w:rPr>
          <w:sz w:val="22"/>
          <w:szCs w:val="22"/>
        </w:rPr>
        <w:t xml:space="preserve"> the hazard ratio over the entire period of observation for groups of subjects varying by a 2-fold difference in bilirubin</w:t>
      </w:r>
      <w:r w:rsidR="00DA63AD">
        <w:rPr>
          <w:sz w:val="22"/>
          <w:szCs w:val="22"/>
        </w:rPr>
        <w:t xml:space="preserve"> with the same sex and age</w:t>
      </w:r>
      <w:r>
        <w:rPr>
          <w:sz w:val="22"/>
          <w:szCs w:val="22"/>
        </w:rPr>
        <w:t>, using robust standard error estimates. Thus, analysis was performed on log-transformed bilirubin and reported on a 2-fold scale. A hazard ratio of 1 was tested</w:t>
      </w:r>
      <w:r w:rsidRPr="00121793">
        <w:rPr>
          <w:sz w:val="22"/>
          <w:szCs w:val="22"/>
        </w:rPr>
        <w:t xml:space="preserve">, and 95% confidence intervals and </w:t>
      </w:r>
      <w:commentRangeStart w:id="48"/>
      <w:r w:rsidRPr="00121793">
        <w:rPr>
          <w:sz w:val="22"/>
          <w:szCs w:val="22"/>
        </w:rPr>
        <w:t xml:space="preserve">p-values </w:t>
      </w:r>
      <w:commentRangeEnd w:id="48"/>
      <w:r w:rsidR="00105EC3">
        <w:rPr>
          <w:rStyle w:val="CommentReference"/>
        </w:rPr>
        <w:commentReference w:id="48"/>
      </w:r>
      <w:r w:rsidR="00DA63AD">
        <w:rPr>
          <w:sz w:val="22"/>
          <w:szCs w:val="22"/>
        </w:rPr>
        <w:t>were</w:t>
      </w:r>
      <w:r w:rsidRPr="00121793">
        <w:rPr>
          <w:sz w:val="22"/>
          <w:szCs w:val="22"/>
        </w:rPr>
        <w:t xml:space="preserve"> Wald-based. </w:t>
      </w:r>
      <w:r>
        <w:rPr>
          <w:sz w:val="22"/>
          <w:szCs w:val="22"/>
        </w:rPr>
        <w:t xml:space="preserve"> </w:t>
      </w:r>
    </w:p>
    <w:p w:rsidR="00366280" w:rsidRDefault="00366280" w:rsidP="00366280">
      <w:pPr>
        <w:autoSpaceDE w:val="0"/>
        <w:autoSpaceDN w:val="0"/>
        <w:adjustRightInd w:val="0"/>
        <w:spacing w:after="120"/>
        <w:ind w:left="1080"/>
        <w:rPr>
          <w:sz w:val="22"/>
          <w:szCs w:val="22"/>
        </w:rPr>
      </w:pPr>
      <w:r w:rsidRPr="00AD4EC8">
        <w:rPr>
          <w:b/>
          <w:sz w:val="22"/>
          <w:szCs w:val="22"/>
          <w:u w:val="single"/>
        </w:rPr>
        <w:t>Inference:</w:t>
      </w:r>
      <w:r>
        <w:rPr>
          <w:sz w:val="22"/>
          <w:szCs w:val="22"/>
        </w:rPr>
        <w:t xml:space="preserve"> Using proportional hazards regression, we estimate that for each doubling of bilirubin, the risk of (all-cause) mortality is </w:t>
      </w:r>
      <w:r w:rsidR="006B5405">
        <w:rPr>
          <w:sz w:val="22"/>
          <w:szCs w:val="22"/>
        </w:rPr>
        <w:t>2.11 times</w:t>
      </w:r>
      <w:r>
        <w:rPr>
          <w:sz w:val="22"/>
          <w:szCs w:val="22"/>
        </w:rPr>
        <w:t xml:space="preserve"> higher for those subjects with greater bilirubin</w:t>
      </w:r>
      <w:r w:rsidR="006B5405">
        <w:rPr>
          <w:sz w:val="22"/>
          <w:szCs w:val="22"/>
        </w:rPr>
        <w:t xml:space="preserve"> of the same sex and age</w:t>
      </w:r>
      <w:r>
        <w:rPr>
          <w:sz w:val="22"/>
          <w:szCs w:val="22"/>
        </w:rPr>
        <w:t xml:space="preserve">. </w:t>
      </w:r>
      <w:commentRangeStart w:id="49"/>
      <w:r>
        <w:rPr>
          <w:sz w:val="22"/>
          <w:szCs w:val="22"/>
        </w:rPr>
        <w:t xml:space="preserve">This observation is consistent with a group that has </w:t>
      </w:r>
      <w:commentRangeEnd w:id="49"/>
      <w:r w:rsidR="001879C3">
        <w:rPr>
          <w:rStyle w:val="CommentReference"/>
        </w:rPr>
        <w:commentReference w:id="49"/>
      </w:r>
      <w:r>
        <w:rPr>
          <w:sz w:val="22"/>
          <w:szCs w:val="22"/>
        </w:rPr>
        <w:t>twice as much bilirubin as another</w:t>
      </w:r>
      <w:r w:rsidR="006B5405">
        <w:rPr>
          <w:sz w:val="22"/>
          <w:szCs w:val="22"/>
        </w:rPr>
        <w:t xml:space="preserve"> </w:t>
      </w:r>
      <w:r>
        <w:rPr>
          <w:sz w:val="22"/>
          <w:szCs w:val="22"/>
        </w:rPr>
        <w:t xml:space="preserve">having a risk of mortality between </w:t>
      </w:r>
      <w:commentRangeStart w:id="50"/>
      <w:r>
        <w:rPr>
          <w:sz w:val="22"/>
          <w:szCs w:val="22"/>
        </w:rPr>
        <w:t>1.</w:t>
      </w:r>
      <w:r w:rsidR="006B5405">
        <w:rPr>
          <w:sz w:val="22"/>
          <w:szCs w:val="22"/>
        </w:rPr>
        <w:t>84</w:t>
      </w:r>
      <w:r>
        <w:rPr>
          <w:sz w:val="22"/>
          <w:szCs w:val="22"/>
        </w:rPr>
        <w:t xml:space="preserve"> to 2.</w:t>
      </w:r>
      <w:r w:rsidR="006B5405">
        <w:rPr>
          <w:sz w:val="22"/>
          <w:szCs w:val="22"/>
        </w:rPr>
        <w:t>4</w:t>
      </w:r>
      <w:r>
        <w:rPr>
          <w:sz w:val="22"/>
          <w:szCs w:val="22"/>
        </w:rPr>
        <w:t>2 times higher</w:t>
      </w:r>
      <w:commentRangeEnd w:id="50"/>
      <w:r w:rsidR="00FF4F2E">
        <w:rPr>
          <w:rStyle w:val="CommentReference"/>
        </w:rPr>
        <w:commentReference w:id="50"/>
      </w:r>
      <w:r>
        <w:rPr>
          <w:sz w:val="22"/>
          <w:szCs w:val="22"/>
        </w:rPr>
        <w:t xml:space="preserve"> than the lower bilirubin group</w:t>
      </w:r>
      <w:r w:rsidR="006B5405" w:rsidRPr="006B5405">
        <w:rPr>
          <w:sz w:val="22"/>
          <w:szCs w:val="22"/>
        </w:rPr>
        <w:t xml:space="preserve"> </w:t>
      </w:r>
      <w:r w:rsidR="006B5405">
        <w:rPr>
          <w:sz w:val="22"/>
          <w:szCs w:val="22"/>
        </w:rPr>
        <w:t>with the same sex and age</w:t>
      </w:r>
      <w:r>
        <w:rPr>
          <w:sz w:val="22"/>
          <w:szCs w:val="22"/>
        </w:rPr>
        <w:t>, based on a 95% confidence interval. This estimate is statistically significant (p &lt; 0.001), so we can with high confidence reject the null hypothesis that there is no association between bilirubin and all-cause mortality</w:t>
      </w:r>
      <w:r w:rsidR="00E16252">
        <w:rPr>
          <w:sz w:val="22"/>
          <w:szCs w:val="22"/>
        </w:rPr>
        <w:t xml:space="preserve"> after adjusting for sex and age</w:t>
      </w:r>
      <w:r>
        <w:rPr>
          <w:sz w:val="22"/>
          <w:szCs w:val="22"/>
        </w:rPr>
        <w:t xml:space="preserve">. </w:t>
      </w:r>
    </w:p>
    <w:p w:rsidR="00366280" w:rsidRDefault="00366280" w:rsidP="00366280">
      <w:pPr>
        <w:autoSpaceDE w:val="0"/>
        <w:autoSpaceDN w:val="0"/>
        <w:adjustRightInd w:val="0"/>
        <w:spacing w:after="120"/>
        <w:ind w:left="1440"/>
        <w:rPr>
          <w:sz w:val="22"/>
          <w:szCs w:val="22"/>
        </w:rPr>
      </w:pPr>
    </w:p>
    <w:p w:rsidR="008851AD" w:rsidRDefault="008851AD" w:rsidP="00366280">
      <w:pPr>
        <w:autoSpaceDE w:val="0"/>
        <w:autoSpaceDN w:val="0"/>
        <w:adjustRightInd w:val="0"/>
        <w:spacing w:after="120"/>
        <w:ind w:left="1440"/>
        <w:rPr>
          <w:sz w:val="22"/>
          <w:szCs w:val="22"/>
        </w:rPr>
      </w:pPr>
    </w:p>
    <w:p w:rsidR="00927CF6" w:rsidRDefault="00927CF6" w:rsidP="00927CF6">
      <w:pPr>
        <w:numPr>
          <w:ilvl w:val="0"/>
          <w:numId w:val="19"/>
        </w:numPr>
        <w:autoSpaceDE w:val="0"/>
        <w:autoSpaceDN w:val="0"/>
        <w:adjustRightInd w:val="0"/>
        <w:spacing w:after="120"/>
        <w:rPr>
          <w:sz w:val="22"/>
          <w:szCs w:val="22"/>
        </w:rPr>
      </w:pPr>
      <w:commentRangeStart w:id="51"/>
      <w:r>
        <w:rPr>
          <w:sz w:val="22"/>
          <w:szCs w:val="22"/>
        </w:rPr>
        <w:t xml:space="preserve">Note </w:t>
      </w:r>
      <w:commentRangeEnd w:id="51"/>
      <w:r w:rsidR="00BE7DE6">
        <w:rPr>
          <w:rStyle w:val="CommentReference"/>
        </w:rPr>
        <w:commentReference w:id="51"/>
      </w:r>
      <w:r>
        <w:rPr>
          <w:sz w:val="22"/>
          <w:szCs w:val="22"/>
        </w:rPr>
        <w:t>that in the above analyses, we completely ignored the intervention in the RCT? What impact could this have had on our results?</w:t>
      </w:r>
    </w:p>
    <w:p w:rsidR="009D5804" w:rsidRPr="009D5804" w:rsidRDefault="00E25F51" w:rsidP="00E25F51">
      <w:pPr>
        <w:pStyle w:val="PlainText"/>
        <w:ind w:left="720"/>
        <w:rPr>
          <w:rFonts w:ascii="Times New Roman" w:hAnsi="Times New Roman" w:cs="Times New Roman"/>
          <w:sz w:val="22"/>
          <w:szCs w:val="22"/>
        </w:rPr>
      </w:pPr>
      <w:r w:rsidRPr="00E438A9">
        <w:rPr>
          <w:rFonts w:ascii="Times New Roman" w:hAnsi="Times New Roman" w:cs="Times New Roman"/>
          <w:b/>
          <w:sz w:val="22"/>
          <w:szCs w:val="22"/>
          <w:u w:val="single"/>
        </w:rPr>
        <w:t>Answer</w:t>
      </w:r>
      <w:r>
        <w:rPr>
          <w:rFonts w:ascii="Times New Roman" w:hAnsi="Times New Roman" w:cs="Times New Roman"/>
          <w:sz w:val="22"/>
          <w:szCs w:val="22"/>
        </w:rPr>
        <w:t xml:space="preserve">: </w:t>
      </w:r>
      <w:commentRangeStart w:id="52"/>
      <w:r w:rsidR="00E438A9">
        <w:rPr>
          <w:rFonts w:ascii="Times New Roman" w:hAnsi="Times New Roman" w:cs="Times New Roman"/>
          <w:sz w:val="22"/>
          <w:szCs w:val="22"/>
        </w:rPr>
        <w:t xml:space="preserve">Because this is a randomized control trial, we generally suppose that no confounding is present in our data. </w:t>
      </w:r>
      <w:commentRangeEnd w:id="52"/>
      <w:r w:rsidR="00BE7DE6">
        <w:rPr>
          <w:rStyle w:val="CommentReference"/>
          <w:rFonts w:ascii="Times New Roman" w:hAnsi="Times New Roman" w:cs="Times New Roman"/>
        </w:rPr>
        <w:commentReference w:id="52"/>
      </w:r>
      <w:r w:rsidR="00E438A9">
        <w:rPr>
          <w:rFonts w:ascii="Times New Roman" w:hAnsi="Times New Roman" w:cs="Times New Roman"/>
          <w:sz w:val="22"/>
          <w:szCs w:val="22"/>
        </w:rPr>
        <w:t xml:space="preserve">However, we are limited to PBC patients, which typically are women. Therefore we need to clearly specify the </w:t>
      </w:r>
      <w:commentRangeStart w:id="53"/>
      <w:r w:rsidR="00E438A9">
        <w:rPr>
          <w:rFonts w:ascii="Times New Roman" w:hAnsi="Times New Roman" w:cs="Times New Roman"/>
          <w:sz w:val="22"/>
          <w:szCs w:val="22"/>
        </w:rPr>
        <w:t>population that we can generalize our results to</w:t>
      </w:r>
      <w:commentRangeEnd w:id="53"/>
      <w:r w:rsidR="008319F6">
        <w:rPr>
          <w:rStyle w:val="CommentReference"/>
          <w:rFonts w:ascii="Times New Roman" w:hAnsi="Times New Roman" w:cs="Times New Roman"/>
        </w:rPr>
        <w:commentReference w:id="53"/>
      </w:r>
      <w:r w:rsidR="00E438A9">
        <w:rPr>
          <w:rFonts w:ascii="Times New Roman" w:hAnsi="Times New Roman" w:cs="Times New Roman"/>
          <w:sz w:val="22"/>
          <w:szCs w:val="22"/>
        </w:rPr>
        <w:t>.</w:t>
      </w:r>
      <w:r w:rsidR="00E66727">
        <w:rPr>
          <w:rFonts w:ascii="Times New Roman" w:hAnsi="Times New Roman" w:cs="Times New Roman"/>
          <w:sz w:val="22"/>
          <w:szCs w:val="22"/>
        </w:rPr>
        <w:t xml:space="preserve"> Now, we found a statistically significant association after our results, but if we were unlucky in our sampling for the RCT, this result might be a Type I error.</w:t>
      </w:r>
      <w:commentRangeStart w:id="54"/>
      <w:r w:rsidR="00E66727">
        <w:rPr>
          <w:rFonts w:ascii="Times New Roman" w:hAnsi="Times New Roman" w:cs="Times New Roman"/>
          <w:sz w:val="22"/>
          <w:szCs w:val="22"/>
        </w:rPr>
        <w:t xml:space="preserve"> </w:t>
      </w:r>
      <w:r w:rsidR="00207763">
        <w:rPr>
          <w:rFonts w:ascii="Times New Roman" w:hAnsi="Times New Roman" w:cs="Times New Roman"/>
          <w:sz w:val="22"/>
          <w:szCs w:val="22"/>
        </w:rPr>
        <w:t>Again, before we conduct our analysis, we need to lay out which variables we will stratify by and why, as well as consider the study design.</w:t>
      </w:r>
      <w:commentRangeEnd w:id="54"/>
      <w:r w:rsidR="008319F6">
        <w:rPr>
          <w:rStyle w:val="CommentReference"/>
          <w:rFonts w:ascii="Times New Roman" w:hAnsi="Times New Roman" w:cs="Times New Roman"/>
        </w:rPr>
        <w:commentReference w:id="54"/>
      </w:r>
    </w:p>
    <w:sectPr w:rsidR="009D5804" w:rsidRPr="009D5804" w:rsidSect="00705ECB">
      <w:headerReference w:type="default" r:id="rId10"/>
      <w:pgSz w:w="12240" w:h="15840"/>
      <w:pgMar w:top="1296" w:right="1296" w:bottom="1296" w:left="1296"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hor" w:initials="A">
    <w:p w:rsidR="00DD0D4D" w:rsidRDefault="00DD0D4D">
      <w:pPr>
        <w:pStyle w:val="CommentText"/>
      </w:pPr>
      <w:r>
        <w:rPr>
          <w:rStyle w:val="CommentReference"/>
        </w:rPr>
        <w:annotationRef/>
      </w:r>
      <w:r>
        <w:t xml:space="preserve">Total: 75/105. </w:t>
      </w:r>
    </w:p>
  </w:comment>
  <w:comment w:id="1" w:author="Author" w:initials="A">
    <w:p w:rsidR="008A3B78" w:rsidRDefault="008A3B78">
      <w:pPr>
        <w:pStyle w:val="CommentText"/>
      </w:pPr>
      <w:r>
        <w:rPr>
          <w:rStyle w:val="CommentReference"/>
        </w:rPr>
        <w:annotationRef/>
      </w:r>
      <w:r>
        <w:t xml:space="preserve">7/10. </w:t>
      </w:r>
    </w:p>
  </w:comment>
  <w:comment w:id="2" w:author="Author" w:initials="A">
    <w:p w:rsidR="008A3B78" w:rsidRDefault="008A3B78">
      <w:pPr>
        <w:pStyle w:val="CommentText"/>
      </w:pPr>
      <w:r>
        <w:rPr>
          <w:rStyle w:val="CommentReference"/>
        </w:rPr>
        <w:annotationRef/>
      </w:r>
      <w:r>
        <w:t>Good job mentioning missing cases. You should make a mention about what was done with subjects with missing data in your analyses. For example, in the key, “subjects missing data were omitted only if they were missing data for a variable needed for the specific analysis.”</w:t>
      </w:r>
    </w:p>
  </w:comment>
  <w:comment w:id="3" w:author="Author" w:initials="A">
    <w:p w:rsidR="008A3B78" w:rsidRPr="00EC5328" w:rsidRDefault="008A3B78">
      <w:pPr>
        <w:pStyle w:val="CommentText"/>
      </w:pPr>
      <w:r>
        <w:rPr>
          <w:rStyle w:val="CommentReference"/>
        </w:rPr>
        <w:annotationRef/>
      </w:r>
      <w:r>
        <w:t xml:space="preserve">Be careful here about making causal inference conclusions!! And also about talking about what the actual data reflects in your methods. Everything in your methods should be able to be decided </w:t>
      </w:r>
      <w:r>
        <w:rPr>
          <w:i/>
        </w:rPr>
        <w:t>a priori</w:t>
      </w:r>
      <w:r>
        <w:t>, before looking at the data. (-1)</w:t>
      </w:r>
    </w:p>
  </w:comment>
  <w:comment w:id="4" w:author="Author" w:initials="A">
    <w:p w:rsidR="008A3B78" w:rsidRDefault="008A3B78">
      <w:pPr>
        <w:pStyle w:val="CommentText"/>
      </w:pPr>
      <w:r>
        <w:rPr>
          <w:rStyle w:val="CommentReference"/>
        </w:rPr>
        <w:annotationRef/>
      </w:r>
      <w:r>
        <w:t xml:space="preserve">Good job dividing up by bilirubin strata, and be using bilirubin levels from a doubling scale. </w:t>
      </w:r>
    </w:p>
  </w:comment>
  <w:comment w:id="5" w:author="Author" w:initials="A">
    <w:p w:rsidR="008A3B78" w:rsidRDefault="008A3B78">
      <w:pPr>
        <w:pStyle w:val="CommentText"/>
      </w:pPr>
      <w:r>
        <w:rPr>
          <w:rStyle w:val="CommentReference"/>
        </w:rPr>
        <w:annotationRef/>
      </w:r>
      <w:r>
        <w:t>Results.</w:t>
      </w:r>
    </w:p>
  </w:comment>
  <w:comment w:id="6" w:author="Author" w:initials="A">
    <w:p w:rsidR="008A3B78" w:rsidRDefault="008A3B78">
      <w:pPr>
        <w:pStyle w:val="CommentText"/>
      </w:pPr>
      <w:r>
        <w:rPr>
          <w:rStyle w:val="CommentReference"/>
        </w:rPr>
        <w:annotationRef/>
      </w:r>
      <w:r>
        <w:t xml:space="preserve">This should be in your methods section. </w:t>
      </w:r>
    </w:p>
  </w:comment>
  <w:comment w:id="7" w:author="Author" w:initials="A">
    <w:p w:rsidR="008A3B78" w:rsidRDefault="008A3B78">
      <w:pPr>
        <w:pStyle w:val="CommentText"/>
      </w:pPr>
      <w:r>
        <w:rPr>
          <w:rStyle w:val="CommentReference"/>
        </w:rPr>
        <w:annotationRef/>
      </w:r>
      <w:r>
        <w:t xml:space="preserve">Point to table 1. </w:t>
      </w:r>
    </w:p>
  </w:comment>
  <w:comment w:id="8" w:author="Author" w:initials="A">
    <w:p w:rsidR="008A3B78" w:rsidRDefault="008A3B78">
      <w:pPr>
        <w:pStyle w:val="CommentText"/>
      </w:pPr>
      <w:r>
        <w:rPr>
          <w:rStyle w:val="CommentReference"/>
        </w:rPr>
        <w:annotationRef/>
      </w:r>
      <w:r>
        <w:t>No mention of age and sex distribution across bilirubin levels. This is an important thing to note because it will help assessment of possible effect modification or confounding. (-1)</w:t>
      </w:r>
    </w:p>
  </w:comment>
  <w:comment w:id="9" w:author="Author" w:initials="A">
    <w:p w:rsidR="008A3B78" w:rsidRDefault="008A3B78">
      <w:pPr>
        <w:pStyle w:val="CommentText"/>
      </w:pPr>
      <w:r>
        <w:rPr>
          <w:rStyle w:val="CommentReference"/>
        </w:rPr>
        <w:annotationRef/>
      </w:r>
      <w:r>
        <w:t xml:space="preserve">This information should be calculated between bilirubin strata, not between censorship and death. This is important to do in order to detect whether age or sex are possible effect modifiers, confounders, or precision variables. I already took a point off for this in your results section so I will not take another point off, but keep this in mind. </w:t>
      </w:r>
    </w:p>
  </w:comment>
  <w:comment w:id="10" w:author="Author" w:initials="A">
    <w:p w:rsidR="008A3B78" w:rsidRDefault="008A3B78">
      <w:pPr>
        <w:pStyle w:val="CommentText"/>
      </w:pPr>
      <w:r>
        <w:rPr>
          <w:rStyle w:val="CommentReference"/>
        </w:rPr>
        <w:annotationRef/>
      </w:r>
      <w:r>
        <w:t>These numbers are off from the ones in the answer key. I’m not sure what you did here, but I would go back and look and try to compare so you know how to do this code properly moving forward. (-1)</w:t>
      </w:r>
    </w:p>
  </w:comment>
  <w:comment w:id="11" w:author="Author" w:initials="A">
    <w:p w:rsidR="008A3B78" w:rsidRDefault="008A3B78">
      <w:pPr>
        <w:pStyle w:val="CommentText"/>
      </w:pPr>
      <w:r>
        <w:rPr>
          <w:rStyle w:val="CommentReference"/>
        </w:rPr>
        <w:annotationRef/>
      </w:r>
      <w:r>
        <w:t>5/10.</w:t>
      </w:r>
    </w:p>
  </w:comment>
  <w:comment w:id="12" w:author="Author" w:initials="A">
    <w:p w:rsidR="008A3B78" w:rsidRDefault="008A3B78">
      <w:pPr>
        <w:pStyle w:val="CommentText"/>
      </w:pPr>
      <w:r>
        <w:rPr>
          <w:rStyle w:val="CommentReference"/>
        </w:rPr>
        <w:annotationRef/>
      </w:r>
      <w:r>
        <w:t xml:space="preserve">It would have been more complete to describe why we COULD use the logistic regression for the Cardiovascular Health Study and what is different between that study and this study such that they required different types of regression. What is the difference between a 5 year dichotomy and a 1.5 year dichotomy, scientifically? See answer key for details about how this would effect your analysis if observation time was in fact a confounder, effect modifier, or a precision variable. (-2). </w:t>
      </w:r>
    </w:p>
  </w:comment>
  <w:comment w:id="13" w:author="Author" w:initials="A">
    <w:p w:rsidR="008A3B78" w:rsidRDefault="008A3B78">
      <w:pPr>
        <w:pStyle w:val="CommentText"/>
      </w:pPr>
      <w:r>
        <w:rPr>
          <w:rStyle w:val="CommentReference"/>
        </w:rPr>
        <w:annotationRef/>
      </w:r>
      <w:r>
        <w:t xml:space="preserve">Or 18 months, but correct. </w:t>
      </w:r>
    </w:p>
  </w:comment>
  <w:comment w:id="14" w:author="Author" w:initials="A">
    <w:p w:rsidR="008A3B78" w:rsidRDefault="008A3B78">
      <w:pPr>
        <w:pStyle w:val="CommentText"/>
      </w:pPr>
      <w:r>
        <w:rPr>
          <w:rStyle w:val="CommentReference"/>
        </w:rPr>
        <w:annotationRef/>
      </w:r>
      <w:r>
        <w:t xml:space="preserve">Should mention loss of precision by dichotomizing here (there is barely any data before the first censoring time at 1.46 years)  (-1). </w:t>
      </w:r>
    </w:p>
  </w:comment>
  <w:comment w:id="15" w:author="Author" w:initials="A">
    <w:p w:rsidR="008A3B78" w:rsidRDefault="008A3B78">
      <w:pPr>
        <w:pStyle w:val="CommentText"/>
      </w:pPr>
      <w:r>
        <w:rPr>
          <w:rStyle w:val="CommentReference"/>
        </w:rPr>
        <w:annotationRef/>
      </w:r>
      <w:r>
        <w:t xml:space="preserve">You mentioned that we shouldn’t use regression that doesn’t take censoring into account (correct), but you didn’t mention why (because of potential confounding, effect modification, or lack of precision). (-1). </w:t>
      </w:r>
    </w:p>
  </w:comment>
  <w:comment w:id="16" w:author="Author" w:initials="A">
    <w:p w:rsidR="008A3B78" w:rsidRDefault="008A3B78">
      <w:pPr>
        <w:pStyle w:val="CommentText"/>
      </w:pPr>
      <w:r>
        <w:rPr>
          <w:rStyle w:val="CommentReference"/>
        </w:rPr>
        <w:annotationRef/>
      </w:r>
      <w:r>
        <w:t xml:space="preserve">This doesn’t really make sense. Logistic regression doesn’t improve when using robust standard errors, true, but this suggests that the assumption of equal variances doesn’t really change your analysis much and so it doesn’t really matter, not that you can’t allow for heterscedasticity in logistic regression. (-1). </w:t>
      </w:r>
    </w:p>
  </w:comment>
  <w:comment w:id="17" w:author="Author" w:initials="A">
    <w:p w:rsidR="008A3B78" w:rsidRDefault="008A3B78">
      <w:pPr>
        <w:pStyle w:val="CommentText"/>
      </w:pPr>
      <w:r>
        <w:rPr>
          <w:rStyle w:val="CommentReference"/>
        </w:rPr>
        <w:annotationRef/>
      </w:r>
      <w:r>
        <w:t xml:space="preserve">Yes, but this could be addressed in your descriptive statistics. The biggest concern here would be that observation time could be a potential confounding, effect modification, or precision variable. </w:t>
      </w:r>
    </w:p>
  </w:comment>
  <w:comment w:id="18" w:author="Author" w:initials="A">
    <w:p w:rsidR="008A3B78" w:rsidRDefault="008A3B78">
      <w:pPr>
        <w:pStyle w:val="CommentText"/>
      </w:pPr>
      <w:r>
        <w:rPr>
          <w:rStyle w:val="CommentReference"/>
        </w:rPr>
        <w:annotationRef/>
      </w:r>
      <w:r>
        <w:t>7/10 points.</w:t>
      </w:r>
    </w:p>
  </w:comment>
  <w:comment w:id="19" w:author="Author" w:initials="A">
    <w:p w:rsidR="008A3B78" w:rsidRDefault="008A3B78">
      <w:pPr>
        <w:pStyle w:val="CommentText"/>
      </w:pPr>
      <w:r>
        <w:rPr>
          <w:rStyle w:val="CommentReference"/>
        </w:rPr>
        <w:annotationRef/>
      </w:r>
      <w:r>
        <w:t xml:space="preserve">This should be in your results, not methods. (-1). </w:t>
      </w:r>
    </w:p>
  </w:comment>
  <w:comment w:id="20" w:author="Author" w:initials="A">
    <w:p w:rsidR="008A3B78" w:rsidRDefault="008A3B78">
      <w:pPr>
        <w:pStyle w:val="CommentText"/>
      </w:pPr>
      <w:r>
        <w:rPr>
          <w:rStyle w:val="CommentReference"/>
        </w:rPr>
        <w:annotationRef/>
      </w:r>
      <w:r>
        <w:t>This is something that probably doesn’t need to be mentioned in your methods but used as an interpretation in your results.</w:t>
      </w:r>
    </w:p>
  </w:comment>
  <w:comment w:id="21" w:author="Author" w:initials="A">
    <w:p w:rsidR="008A3B78" w:rsidRDefault="008A3B78">
      <w:pPr>
        <w:pStyle w:val="CommentText"/>
      </w:pPr>
      <w:r>
        <w:rPr>
          <w:rStyle w:val="CommentReference"/>
        </w:rPr>
        <w:annotationRef/>
      </w:r>
      <w:r>
        <w:t>What kind of p-value? (-1).</w:t>
      </w:r>
    </w:p>
  </w:comment>
  <w:comment w:id="22" w:author="Author" w:initials="A">
    <w:p w:rsidR="008A3B78" w:rsidRDefault="008A3B78">
      <w:pPr>
        <w:pStyle w:val="CommentText"/>
      </w:pPr>
      <w:r>
        <w:rPr>
          <w:rStyle w:val="CommentReference"/>
        </w:rPr>
        <w:annotationRef/>
      </w:r>
      <w:r>
        <w:t xml:space="preserve">Results. </w:t>
      </w:r>
    </w:p>
  </w:comment>
  <w:comment w:id="23" w:author="Author" w:initials="A">
    <w:p w:rsidR="008A3B78" w:rsidRDefault="008A3B78">
      <w:pPr>
        <w:pStyle w:val="CommentText"/>
      </w:pPr>
      <w:r>
        <w:rPr>
          <w:rStyle w:val="CommentReference"/>
        </w:rPr>
        <w:annotationRef/>
      </w:r>
      <w:r>
        <w:t xml:space="preserve">Incorrect C.I. (-1). </w:t>
      </w:r>
    </w:p>
  </w:comment>
  <w:comment w:id="24" w:author="Author" w:initials="A">
    <w:p w:rsidR="008A3B78" w:rsidRDefault="008A3B78">
      <w:pPr>
        <w:pStyle w:val="CommentText"/>
      </w:pPr>
      <w:r>
        <w:rPr>
          <w:rStyle w:val="CommentReference"/>
        </w:rPr>
        <w:annotationRef/>
      </w:r>
      <w:r>
        <w:t xml:space="preserve">5/5. </w:t>
      </w:r>
    </w:p>
  </w:comment>
  <w:comment w:id="25" w:author="Author" w:initials="A">
    <w:p w:rsidR="008A3B78" w:rsidRDefault="008A3B78">
      <w:pPr>
        <w:pStyle w:val="CommentText"/>
      </w:pPr>
      <w:r>
        <w:rPr>
          <w:rStyle w:val="CommentReference"/>
        </w:rPr>
        <w:annotationRef/>
      </w:r>
      <w:r>
        <w:t xml:space="preserve">Good answer. It also may have been helpful to mention that given the population being studied, we would expect abnormal bilirubin measurements. </w:t>
      </w:r>
    </w:p>
  </w:comment>
  <w:comment w:id="26" w:author="Author" w:initials="A">
    <w:p w:rsidR="008A3B78" w:rsidRDefault="008A3B78">
      <w:pPr>
        <w:pStyle w:val="CommentText"/>
      </w:pPr>
      <w:r>
        <w:rPr>
          <w:rStyle w:val="CommentReference"/>
        </w:rPr>
        <w:annotationRef/>
      </w:r>
      <w:r>
        <w:t>7/10.</w:t>
      </w:r>
    </w:p>
  </w:comment>
  <w:comment w:id="27" w:author="Author" w:initials="A">
    <w:p w:rsidR="008A3B78" w:rsidRDefault="008A3B78">
      <w:pPr>
        <w:pStyle w:val="CommentText"/>
      </w:pPr>
      <w:r>
        <w:rPr>
          <w:rStyle w:val="CommentReference"/>
        </w:rPr>
        <w:annotationRef/>
      </w:r>
      <w:r>
        <w:t xml:space="preserve">Clarify: two-sided p-value. (-1). </w:t>
      </w:r>
    </w:p>
  </w:comment>
  <w:comment w:id="28" w:author="Author" w:initials="A">
    <w:p w:rsidR="008A3B78" w:rsidRDefault="008A3B78">
      <w:pPr>
        <w:pStyle w:val="CommentText"/>
      </w:pPr>
      <w:r>
        <w:rPr>
          <w:rStyle w:val="CommentReference"/>
        </w:rPr>
        <w:annotationRef/>
      </w:r>
      <w:r>
        <w:t>Results.</w:t>
      </w:r>
    </w:p>
  </w:comment>
  <w:comment w:id="29" w:author="Author" w:initials="A">
    <w:p w:rsidR="008A3B78" w:rsidRDefault="008A3B78">
      <w:pPr>
        <w:pStyle w:val="CommentText"/>
      </w:pPr>
      <w:r>
        <w:rPr>
          <w:rStyle w:val="CommentReference"/>
        </w:rPr>
        <w:annotationRef/>
      </w:r>
      <w:r>
        <w:t xml:space="preserve">You should say how many deaths occurred. (-1). </w:t>
      </w:r>
    </w:p>
  </w:comment>
  <w:comment w:id="30" w:author="Author" w:initials="A">
    <w:p w:rsidR="008A3B78" w:rsidRDefault="008A3B78">
      <w:pPr>
        <w:pStyle w:val="CommentText"/>
      </w:pPr>
      <w:r>
        <w:rPr>
          <w:rStyle w:val="CommentReference"/>
        </w:rPr>
        <w:annotationRef/>
      </w:r>
      <w:r>
        <w:t xml:space="preserve">This C.I. interpretation is confusing to read. You should report that it would be consistent with the truth if the TRUE value has a risk of mortality 1.78 to 2.12 times higher for a doubling of bilirubin. …. (-1). </w:t>
      </w:r>
    </w:p>
  </w:comment>
  <w:comment w:id="31" w:author="Author" w:initials="A">
    <w:p w:rsidR="008A3B78" w:rsidRDefault="008A3B78">
      <w:pPr>
        <w:pStyle w:val="CommentText"/>
      </w:pPr>
      <w:r>
        <w:rPr>
          <w:rStyle w:val="CommentReference"/>
        </w:rPr>
        <w:annotationRef/>
      </w:r>
      <w:r>
        <w:t xml:space="preserve">7/10. </w:t>
      </w:r>
    </w:p>
  </w:comment>
  <w:comment w:id="32" w:author="Author" w:initials="A">
    <w:p w:rsidR="008A3B78" w:rsidRDefault="008A3B78">
      <w:pPr>
        <w:pStyle w:val="CommentText"/>
      </w:pPr>
      <w:r>
        <w:rPr>
          <w:rStyle w:val="CommentReference"/>
        </w:rPr>
        <w:annotationRef/>
      </w:r>
      <w:r>
        <w:t xml:space="preserve">Again, this should be mentioned in results, not methods. Methods should be able to be written a priori before looking at any data (-1). </w:t>
      </w:r>
    </w:p>
  </w:comment>
  <w:comment w:id="33" w:author="Author" w:initials="A">
    <w:p w:rsidR="008A3B78" w:rsidRDefault="008A3B78">
      <w:pPr>
        <w:pStyle w:val="CommentText"/>
      </w:pPr>
      <w:r>
        <w:rPr>
          <w:rStyle w:val="CommentReference"/>
        </w:rPr>
        <w:annotationRef/>
      </w:r>
      <w:r>
        <w:t xml:space="preserve">Two-sided p-value. (-1). </w:t>
      </w:r>
    </w:p>
  </w:comment>
  <w:comment w:id="34" w:author="Author" w:initials="A">
    <w:p w:rsidR="008A3B78" w:rsidRDefault="008A3B78">
      <w:pPr>
        <w:pStyle w:val="CommentText"/>
      </w:pPr>
      <w:r>
        <w:rPr>
          <w:rStyle w:val="CommentReference"/>
        </w:rPr>
        <w:annotationRef/>
      </w:r>
      <w:r>
        <w:t>You should state more clearly what is being tested by stating your null hypothesis. (-1)</w:t>
      </w:r>
    </w:p>
  </w:comment>
  <w:comment w:id="35" w:author="Author" w:initials="A">
    <w:p w:rsidR="008A3B78" w:rsidRDefault="008A3B78">
      <w:pPr>
        <w:pStyle w:val="CommentText"/>
      </w:pPr>
      <w:r>
        <w:rPr>
          <w:rStyle w:val="CommentReference"/>
        </w:rPr>
        <w:annotationRef/>
      </w:r>
      <w:r>
        <w:t xml:space="preserve">Results. </w:t>
      </w:r>
    </w:p>
  </w:comment>
  <w:comment w:id="36" w:author="Author" w:initials="A">
    <w:p w:rsidR="008A3B78" w:rsidRDefault="008A3B78">
      <w:pPr>
        <w:pStyle w:val="CommentText"/>
      </w:pPr>
      <w:r>
        <w:rPr>
          <w:rStyle w:val="CommentReference"/>
        </w:rPr>
        <w:annotationRef/>
      </w:r>
      <w:r>
        <w:t xml:space="preserve">Good results section, everything here is complete and correct. </w:t>
      </w:r>
    </w:p>
  </w:comment>
  <w:comment w:id="37" w:author="Author" w:initials="A">
    <w:p w:rsidR="008A3B78" w:rsidRDefault="008A3B78">
      <w:pPr>
        <w:pStyle w:val="CommentText"/>
      </w:pPr>
      <w:r>
        <w:rPr>
          <w:rStyle w:val="CommentReference"/>
        </w:rPr>
        <w:annotationRef/>
      </w:r>
      <w:r>
        <w:t>7/10.</w:t>
      </w:r>
    </w:p>
  </w:comment>
  <w:comment w:id="38" w:author="Author" w:initials="A">
    <w:p w:rsidR="008A3B78" w:rsidRDefault="008A3B78">
      <w:pPr>
        <w:pStyle w:val="CommentText"/>
      </w:pPr>
      <w:r>
        <w:rPr>
          <w:rStyle w:val="CommentReference"/>
        </w:rPr>
        <w:annotationRef/>
      </w:r>
      <w:r>
        <w:t xml:space="preserve"> You did a good job in describing in which bilirubin range the models were similar and where they differed- this is an important distinction to make.This answer is completely correct descriptively, but you could have been more thorough by commenting on the statistical relevance of these differences.  Model 3 is more flexible because it can choose to follow a log or a linear fit. The fact that it is closer to to the logarithmic fit suggests that log tranformed bilirubin may be a more correct choice then untransformed (linear) bilirubin.. I’m taking 3 points off because this idea is an important concept, it’s necessary to be able to describe what graphs like this would tell you about which model may be most correct, instead of just noting objective differences (-3). </w:t>
      </w:r>
    </w:p>
  </w:comment>
  <w:comment w:id="39" w:author="Author" w:initials="A">
    <w:p w:rsidR="00105EC3" w:rsidRDefault="00105EC3">
      <w:pPr>
        <w:pStyle w:val="CommentText"/>
      </w:pPr>
      <w:r>
        <w:rPr>
          <w:rStyle w:val="CommentReference"/>
        </w:rPr>
        <w:annotationRef/>
      </w:r>
      <w:r>
        <w:t>6/10/</w:t>
      </w:r>
    </w:p>
  </w:comment>
  <w:comment w:id="40" w:author="Author" w:initials="A">
    <w:p w:rsidR="00105EC3" w:rsidRDefault="00105EC3">
      <w:pPr>
        <w:pStyle w:val="CommentText"/>
      </w:pPr>
      <w:r>
        <w:rPr>
          <w:rStyle w:val="CommentReference"/>
        </w:rPr>
        <w:annotationRef/>
      </w:r>
      <w:r>
        <w:t xml:space="preserve">This is one way of looking at it, but you should have been considering information that you  actually didn’t have since you didn’t do this for your descriptive statistics. You should have been considering the three basic components of a confounder: It’s association with the POI, it’s association with the outcome, and any possible causal relationship. No mention of causal pathway (-1), although you did mention that both age and sex appear to be associated with outcome (correct). </w:t>
      </w:r>
    </w:p>
  </w:comment>
  <w:comment w:id="41" w:author="Author" w:initials="A">
    <w:p w:rsidR="00105EC3" w:rsidRDefault="00105EC3">
      <w:pPr>
        <w:pStyle w:val="CommentText"/>
      </w:pPr>
      <w:r>
        <w:rPr>
          <w:rStyle w:val="CommentReference"/>
        </w:rPr>
        <w:annotationRef/>
      </w:r>
      <w:r>
        <w:t xml:space="preserve">Good. Addressing the potential confounders relationship with the POI is important to assess possible confounding. No mention of the relationship of age and bilirubin (-1). You also drew no conclusions here- did you conclude that one of these is a potential confounder and one is not? What does it mean that these variables are or are not associated with the POI and outcome? (-2). </w:t>
      </w:r>
    </w:p>
  </w:comment>
  <w:comment w:id="42" w:author="Author" w:initials="A">
    <w:p w:rsidR="00105EC3" w:rsidRDefault="00105EC3">
      <w:pPr>
        <w:pStyle w:val="CommentText"/>
      </w:pPr>
      <w:r>
        <w:rPr>
          <w:rStyle w:val="CommentReference"/>
        </w:rPr>
        <w:annotationRef/>
      </w:r>
      <w:r>
        <w:t>7/10.</w:t>
      </w:r>
    </w:p>
  </w:comment>
  <w:comment w:id="43" w:author="Author" w:initials="A">
    <w:p w:rsidR="00105EC3" w:rsidRDefault="00105EC3">
      <w:pPr>
        <w:pStyle w:val="CommentText"/>
      </w:pPr>
      <w:r>
        <w:rPr>
          <w:rStyle w:val="CommentReference"/>
        </w:rPr>
        <w:annotationRef/>
      </w:r>
      <w:r>
        <w:t xml:space="preserve">Good catch. </w:t>
      </w:r>
    </w:p>
  </w:comment>
  <w:comment w:id="44" w:author="Author" w:initials="A">
    <w:p w:rsidR="00105EC3" w:rsidRDefault="00105EC3">
      <w:pPr>
        <w:pStyle w:val="CommentText"/>
      </w:pPr>
      <w:r>
        <w:rPr>
          <w:rStyle w:val="CommentReference"/>
        </w:rPr>
        <w:annotationRef/>
      </w:r>
      <w:r>
        <w:t xml:space="preserve">Right, but the hazard ratio isn’t actually that different (1.071 for men instead of 1.0 for women, with no statistical significance, for the log-transformed model) (-2). </w:t>
      </w:r>
    </w:p>
  </w:comment>
  <w:comment w:id="45" w:author="Author" w:initials="A">
    <w:p w:rsidR="00105EC3" w:rsidRDefault="00105EC3">
      <w:pPr>
        <w:pStyle w:val="CommentText"/>
      </w:pPr>
      <w:r>
        <w:rPr>
          <w:rStyle w:val="CommentReference"/>
        </w:rPr>
        <w:annotationRef/>
      </w:r>
      <w:r>
        <w:t xml:space="preserve">You could have used the proportional hazards evidence of the association between HR and age which would have given a better picture (-1). However, you do have the general picture here. </w:t>
      </w:r>
    </w:p>
  </w:comment>
  <w:comment w:id="46" w:author="Author" w:initials="A">
    <w:p w:rsidR="001879C3" w:rsidRDefault="001879C3">
      <w:pPr>
        <w:pStyle w:val="CommentText"/>
      </w:pPr>
      <w:r>
        <w:rPr>
          <w:rStyle w:val="CommentReference"/>
        </w:rPr>
        <w:annotationRef/>
      </w:r>
      <w:r>
        <w:t xml:space="preserve">7/10. </w:t>
      </w:r>
    </w:p>
  </w:comment>
  <w:comment w:id="47" w:author="Author" w:initials="A">
    <w:p w:rsidR="00105EC3" w:rsidRDefault="00105EC3">
      <w:pPr>
        <w:pStyle w:val="CommentText"/>
      </w:pPr>
      <w:r>
        <w:rPr>
          <w:rStyle w:val="CommentReference"/>
        </w:rPr>
        <w:annotationRef/>
      </w:r>
      <w:r>
        <w:t xml:space="preserve">You need to put this information in your results, not methods. You would not know how many deaths there were or the follow up time a priori. (-1). </w:t>
      </w:r>
    </w:p>
  </w:comment>
  <w:comment w:id="48" w:author="Author" w:initials="A">
    <w:p w:rsidR="00105EC3" w:rsidRDefault="00105EC3">
      <w:pPr>
        <w:pStyle w:val="CommentText"/>
      </w:pPr>
      <w:r>
        <w:rPr>
          <w:rStyle w:val="CommentReference"/>
        </w:rPr>
        <w:annotationRef/>
      </w:r>
      <w:r>
        <w:t xml:space="preserve">Two-sided p-value. (-1). </w:t>
      </w:r>
    </w:p>
  </w:comment>
  <w:comment w:id="49" w:author="Author" w:initials="A">
    <w:p w:rsidR="001879C3" w:rsidRDefault="001879C3">
      <w:pPr>
        <w:pStyle w:val="CommentText"/>
      </w:pPr>
      <w:r>
        <w:rPr>
          <w:rStyle w:val="CommentReference"/>
        </w:rPr>
        <w:annotationRef/>
      </w:r>
      <w:r>
        <w:t xml:space="preserve">C.I. interpretation is confusing here. It’s better to refer to the hypothetical truth… “this observation would be unsurprising if the true hazard ratio fell between 1.84 and 2.42”. (-1). </w:t>
      </w:r>
    </w:p>
  </w:comment>
  <w:comment w:id="50" w:author="Author" w:initials="A">
    <w:p w:rsidR="00FF4F2E" w:rsidRDefault="00FF4F2E">
      <w:pPr>
        <w:pStyle w:val="CommentText"/>
      </w:pPr>
      <w:r>
        <w:rPr>
          <w:rStyle w:val="CommentReference"/>
        </w:rPr>
        <w:annotationRef/>
      </w:r>
      <w:r>
        <w:t xml:space="preserve">It’s better to just report the hazard ratios here, instead of  saying 1.84 to 2.42 times higher- the interpretation is confusing. </w:t>
      </w:r>
    </w:p>
  </w:comment>
  <w:comment w:id="51" w:author="Author" w:initials="A">
    <w:p w:rsidR="00BE7DE6" w:rsidRDefault="00BE7DE6">
      <w:pPr>
        <w:pStyle w:val="CommentText"/>
      </w:pPr>
      <w:r>
        <w:rPr>
          <w:rStyle w:val="CommentReference"/>
        </w:rPr>
        <w:annotationRef/>
      </w:r>
      <w:r>
        <w:t xml:space="preserve">10/10. </w:t>
      </w:r>
    </w:p>
  </w:comment>
  <w:comment w:id="52" w:author="Author" w:initials="A">
    <w:p w:rsidR="00BE7DE6" w:rsidRDefault="00BE7DE6">
      <w:pPr>
        <w:pStyle w:val="CommentText"/>
      </w:pPr>
      <w:r>
        <w:rPr>
          <w:rStyle w:val="CommentReference"/>
        </w:rPr>
        <w:annotationRef/>
      </w:r>
      <w:r>
        <w:t xml:space="preserve">Good. You pointed out that the RCT in some sense precluded confounding! Full credit. </w:t>
      </w:r>
    </w:p>
  </w:comment>
  <w:comment w:id="53" w:author="Author" w:initials="A">
    <w:p w:rsidR="008319F6" w:rsidRDefault="008319F6">
      <w:pPr>
        <w:pStyle w:val="CommentText"/>
      </w:pPr>
      <w:r>
        <w:rPr>
          <w:rStyle w:val="CommentReference"/>
        </w:rPr>
        <w:annotationRef/>
      </w:r>
      <w:r>
        <w:t xml:space="preserve">Good! The study may lack some external validity due to lack of generalizability and having more women, but as long as you state that, it’s okay. </w:t>
      </w:r>
    </w:p>
  </w:comment>
  <w:comment w:id="54" w:author="Author" w:initials="A">
    <w:p w:rsidR="008319F6" w:rsidRDefault="008319F6">
      <w:pPr>
        <w:pStyle w:val="CommentText"/>
      </w:pPr>
      <w:r>
        <w:rPr>
          <w:rStyle w:val="CommentReference"/>
        </w:rPr>
        <w:annotationRef/>
      </w:r>
      <w:r>
        <w:t xml:space="preserve">Correct. Treatment is a (at most) precision variable in this analysis.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B78" w:rsidRDefault="008A3B78">
      <w:r>
        <w:separator/>
      </w:r>
    </w:p>
  </w:endnote>
  <w:endnote w:type="continuationSeparator" w:id="0">
    <w:p w:rsidR="008A3B78" w:rsidRDefault="008A3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B78" w:rsidRDefault="008A3B78">
      <w:r>
        <w:separator/>
      </w:r>
    </w:p>
  </w:footnote>
  <w:footnote w:type="continuationSeparator" w:id="0">
    <w:p w:rsidR="008A3B78" w:rsidRDefault="008A3B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B78" w:rsidRDefault="008A3B78" w:rsidP="003E72DD">
    <w:pPr>
      <w:pStyle w:val="Header"/>
      <w:tabs>
        <w:tab w:val="left" w:pos="5921"/>
      </w:tabs>
    </w:pPr>
    <w:r>
      <w:t>Biost 518 / 515, Winter 2015</w:t>
    </w:r>
    <w:r>
      <w:tab/>
      <w:t>Homework #4</w:t>
    </w:r>
    <w:r>
      <w:tab/>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DD0D4D">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DD0D4D">
      <w:rPr>
        <w:noProof/>
        <w:snapToGrid w:val="0"/>
      </w:rPr>
      <w:t>6</w:t>
    </w:r>
    <w:r>
      <w:rPr>
        <w:snapToGrid w:val="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410B89"/>
    <w:rsid w:val="00004547"/>
    <w:rsid w:val="00021A79"/>
    <w:rsid w:val="000263C2"/>
    <w:rsid w:val="0004432C"/>
    <w:rsid w:val="00054A42"/>
    <w:rsid w:val="00060C13"/>
    <w:rsid w:val="0006333F"/>
    <w:rsid w:val="000672ED"/>
    <w:rsid w:val="000710A3"/>
    <w:rsid w:val="000817A7"/>
    <w:rsid w:val="000A3E09"/>
    <w:rsid w:val="000B0CEF"/>
    <w:rsid w:val="000F52B6"/>
    <w:rsid w:val="0010428A"/>
    <w:rsid w:val="00105EC3"/>
    <w:rsid w:val="00115B08"/>
    <w:rsid w:val="00125DD5"/>
    <w:rsid w:val="001320AA"/>
    <w:rsid w:val="00132AEC"/>
    <w:rsid w:val="00132BA1"/>
    <w:rsid w:val="00140EC9"/>
    <w:rsid w:val="00147AD7"/>
    <w:rsid w:val="00160820"/>
    <w:rsid w:val="00163DAA"/>
    <w:rsid w:val="001766E6"/>
    <w:rsid w:val="001879C3"/>
    <w:rsid w:val="001910CB"/>
    <w:rsid w:val="00195312"/>
    <w:rsid w:val="00195B2D"/>
    <w:rsid w:val="001A1479"/>
    <w:rsid w:val="001A4B90"/>
    <w:rsid w:val="001C3A50"/>
    <w:rsid w:val="001C45FE"/>
    <w:rsid w:val="001D2DC2"/>
    <w:rsid w:val="001E02FE"/>
    <w:rsid w:val="001E36FF"/>
    <w:rsid w:val="001E5158"/>
    <w:rsid w:val="001E79FA"/>
    <w:rsid w:val="001F053D"/>
    <w:rsid w:val="001F135D"/>
    <w:rsid w:val="001F5F0A"/>
    <w:rsid w:val="001F76DB"/>
    <w:rsid w:val="00200064"/>
    <w:rsid w:val="00202909"/>
    <w:rsid w:val="00203B0F"/>
    <w:rsid w:val="00207763"/>
    <w:rsid w:val="002101EB"/>
    <w:rsid w:val="0021517E"/>
    <w:rsid w:val="002213A5"/>
    <w:rsid w:val="00225E67"/>
    <w:rsid w:val="002365E3"/>
    <w:rsid w:val="0024368C"/>
    <w:rsid w:val="00261CFB"/>
    <w:rsid w:val="002777EC"/>
    <w:rsid w:val="002A5868"/>
    <w:rsid w:val="002A6283"/>
    <w:rsid w:val="002B71F0"/>
    <w:rsid w:val="002D5B86"/>
    <w:rsid w:val="002F0282"/>
    <w:rsid w:val="002F7C0C"/>
    <w:rsid w:val="00300F26"/>
    <w:rsid w:val="00303860"/>
    <w:rsid w:val="003471E3"/>
    <w:rsid w:val="00353B06"/>
    <w:rsid w:val="00353EFD"/>
    <w:rsid w:val="00355F9D"/>
    <w:rsid w:val="0036127B"/>
    <w:rsid w:val="00366280"/>
    <w:rsid w:val="00385CD1"/>
    <w:rsid w:val="00391C54"/>
    <w:rsid w:val="00396DF0"/>
    <w:rsid w:val="003A6D85"/>
    <w:rsid w:val="003B6D55"/>
    <w:rsid w:val="003C0FBE"/>
    <w:rsid w:val="003D7C8C"/>
    <w:rsid w:val="003E0D25"/>
    <w:rsid w:val="003E5500"/>
    <w:rsid w:val="003E72DD"/>
    <w:rsid w:val="003E77F4"/>
    <w:rsid w:val="003F2255"/>
    <w:rsid w:val="003F3001"/>
    <w:rsid w:val="003F3B8E"/>
    <w:rsid w:val="00410986"/>
    <w:rsid w:val="00410B89"/>
    <w:rsid w:val="00415759"/>
    <w:rsid w:val="0042294F"/>
    <w:rsid w:val="00422D91"/>
    <w:rsid w:val="00443606"/>
    <w:rsid w:val="004514C0"/>
    <w:rsid w:val="00452963"/>
    <w:rsid w:val="0046386C"/>
    <w:rsid w:val="004664FD"/>
    <w:rsid w:val="00474EF6"/>
    <w:rsid w:val="00475C72"/>
    <w:rsid w:val="004947D0"/>
    <w:rsid w:val="004A6759"/>
    <w:rsid w:val="004C1BCC"/>
    <w:rsid w:val="004D1289"/>
    <w:rsid w:val="004D1292"/>
    <w:rsid w:val="004D7832"/>
    <w:rsid w:val="00501EC4"/>
    <w:rsid w:val="0050703D"/>
    <w:rsid w:val="00510B41"/>
    <w:rsid w:val="00511C56"/>
    <w:rsid w:val="00523AA4"/>
    <w:rsid w:val="00567523"/>
    <w:rsid w:val="00583B7E"/>
    <w:rsid w:val="00586C10"/>
    <w:rsid w:val="005B14E3"/>
    <w:rsid w:val="005C0BDF"/>
    <w:rsid w:val="005C35DF"/>
    <w:rsid w:val="005C5726"/>
    <w:rsid w:val="005D77D2"/>
    <w:rsid w:val="005D7E06"/>
    <w:rsid w:val="005E10EC"/>
    <w:rsid w:val="005E415C"/>
    <w:rsid w:val="006138F9"/>
    <w:rsid w:val="006152BE"/>
    <w:rsid w:val="00621C76"/>
    <w:rsid w:val="0062265F"/>
    <w:rsid w:val="00623905"/>
    <w:rsid w:val="006268D1"/>
    <w:rsid w:val="006336A9"/>
    <w:rsid w:val="00634D47"/>
    <w:rsid w:val="0063762C"/>
    <w:rsid w:val="006508C5"/>
    <w:rsid w:val="00654208"/>
    <w:rsid w:val="00662B56"/>
    <w:rsid w:val="00673A26"/>
    <w:rsid w:val="00675470"/>
    <w:rsid w:val="006767E3"/>
    <w:rsid w:val="00676B73"/>
    <w:rsid w:val="00693DD6"/>
    <w:rsid w:val="006A5F1B"/>
    <w:rsid w:val="006B1E11"/>
    <w:rsid w:val="006B5405"/>
    <w:rsid w:val="006C49EE"/>
    <w:rsid w:val="006E16C5"/>
    <w:rsid w:val="006E5205"/>
    <w:rsid w:val="006E59D7"/>
    <w:rsid w:val="006F28D0"/>
    <w:rsid w:val="006F78CE"/>
    <w:rsid w:val="00705ECB"/>
    <w:rsid w:val="007079DA"/>
    <w:rsid w:val="007356DE"/>
    <w:rsid w:val="007366CC"/>
    <w:rsid w:val="00741AE1"/>
    <w:rsid w:val="007506C5"/>
    <w:rsid w:val="00751474"/>
    <w:rsid w:val="007518FF"/>
    <w:rsid w:val="00762DE6"/>
    <w:rsid w:val="00767D4A"/>
    <w:rsid w:val="00780D8E"/>
    <w:rsid w:val="00785A87"/>
    <w:rsid w:val="007B1360"/>
    <w:rsid w:val="007B1A66"/>
    <w:rsid w:val="007B4E60"/>
    <w:rsid w:val="007C1E0C"/>
    <w:rsid w:val="00803C89"/>
    <w:rsid w:val="008057F6"/>
    <w:rsid w:val="00830EC6"/>
    <w:rsid w:val="008319F6"/>
    <w:rsid w:val="00836540"/>
    <w:rsid w:val="008531F5"/>
    <w:rsid w:val="00865FF4"/>
    <w:rsid w:val="0087636D"/>
    <w:rsid w:val="008851AD"/>
    <w:rsid w:val="008A2507"/>
    <w:rsid w:val="008A3B78"/>
    <w:rsid w:val="008A45D9"/>
    <w:rsid w:val="008B246D"/>
    <w:rsid w:val="008B53CA"/>
    <w:rsid w:val="008E0FE1"/>
    <w:rsid w:val="008E7565"/>
    <w:rsid w:val="008F73A3"/>
    <w:rsid w:val="00905BC9"/>
    <w:rsid w:val="00905E82"/>
    <w:rsid w:val="00910B48"/>
    <w:rsid w:val="009277AB"/>
    <w:rsid w:val="00927CF6"/>
    <w:rsid w:val="00933C82"/>
    <w:rsid w:val="0094708F"/>
    <w:rsid w:val="009513E2"/>
    <w:rsid w:val="009B2370"/>
    <w:rsid w:val="009C542B"/>
    <w:rsid w:val="009D5804"/>
    <w:rsid w:val="009E1843"/>
    <w:rsid w:val="009F413F"/>
    <w:rsid w:val="00A0233D"/>
    <w:rsid w:val="00A02CD8"/>
    <w:rsid w:val="00A05CD5"/>
    <w:rsid w:val="00A31D8C"/>
    <w:rsid w:val="00A4205F"/>
    <w:rsid w:val="00A44034"/>
    <w:rsid w:val="00A459C8"/>
    <w:rsid w:val="00A466F0"/>
    <w:rsid w:val="00A477F8"/>
    <w:rsid w:val="00A55C10"/>
    <w:rsid w:val="00A620A3"/>
    <w:rsid w:val="00A835F0"/>
    <w:rsid w:val="00A86F93"/>
    <w:rsid w:val="00AB4D56"/>
    <w:rsid w:val="00AB6FAD"/>
    <w:rsid w:val="00AC1D1E"/>
    <w:rsid w:val="00AD29C0"/>
    <w:rsid w:val="00AD4EC8"/>
    <w:rsid w:val="00AF0CA9"/>
    <w:rsid w:val="00AF43BC"/>
    <w:rsid w:val="00AF5A1A"/>
    <w:rsid w:val="00AF7493"/>
    <w:rsid w:val="00B04F23"/>
    <w:rsid w:val="00B05C27"/>
    <w:rsid w:val="00B12B84"/>
    <w:rsid w:val="00B15F79"/>
    <w:rsid w:val="00B17CB5"/>
    <w:rsid w:val="00B212A5"/>
    <w:rsid w:val="00B30CC4"/>
    <w:rsid w:val="00B42150"/>
    <w:rsid w:val="00B43F52"/>
    <w:rsid w:val="00B457A7"/>
    <w:rsid w:val="00B4705C"/>
    <w:rsid w:val="00B70375"/>
    <w:rsid w:val="00B71B28"/>
    <w:rsid w:val="00B74B21"/>
    <w:rsid w:val="00B77108"/>
    <w:rsid w:val="00B814FA"/>
    <w:rsid w:val="00B87D2F"/>
    <w:rsid w:val="00BA1862"/>
    <w:rsid w:val="00BA58A6"/>
    <w:rsid w:val="00BC4A68"/>
    <w:rsid w:val="00BD2160"/>
    <w:rsid w:val="00BE7DE6"/>
    <w:rsid w:val="00BF5CB8"/>
    <w:rsid w:val="00C00601"/>
    <w:rsid w:val="00C15CDE"/>
    <w:rsid w:val="00C16EEB"/>
    <w:rsid w:val="00C24F04"/>
    <w:rsid w:val="00C34D39"/>
    <w:rsid w:val="00C34EBC"/>
    <w:rsid w:val="00C51D75"/>
    <w:rsid w:val="00C55091"/>
    <w:rsid w:val="00C642DD"/>
    <w:rsid w:val="00C64E34"/>
    <w:rsid w:val="00C71422"/>
    <w:rsid w:val="00C74FEC"/>
    <w:rsid w:val="00C8246E"/>
    <w:rsid w:val="00C8626E"/>
    <w:rsid w:val="00C93A29"/>
    <w:rsid w:val="00C96B86"/>
    <w:rsid w:val="00CB0044"/>
    <w:rsid w:val="00CC0AC5"/>
    <w:rsid w:val="00CC37A7"/>
    <w:rsid w:val="00CC5E62"/>
    <w:rsid w:val="00CD5115"/>
    <w:rsid w:val="00D15053"/>
    <w:rsid w:val="00D16C04"/>
    <w:rsid w:val="00D22533"/>
    <w:rsid w:val="00D32D62"/>
    <w:rsid w:val="00D610F0"/>
    <w:rsid w:val="00D72BD7"/>
    <w:rsid w:val="00D83543"/>
    <w:rsid w:val="00D9488B"/>
    <w:rsid w:val="00DA63AD"/>
    <w:rsid w:val="00DB5267"/>
    <w:rsid w:val="00DC01FF"/>
    <w:rsid w:val="00DD0D4D"/>
    <w:rsid w:val="00DD34CF"/>
    <w:rsid w:val="00DD6B80"/>
    <w:rsid w:val="00DE3817"/>
    <w:rsid w:val="00E01E38"/>
    <w:rsid w:val="00E03960"/>
    <w:rsid w:val="00E16252"/>
    <w:rsid w:val="00E25F51"/>
    <w:rsid w:val="00E438A9"/>
    <w:rsid w:val="00E463AD"/>
    <w:rsid w:val="00E56390"/>
    <w:rsid w:val="00E56588"/>
    <w:rsid w:val="00E642DA"/>
    <w:rsid w:val="00E66727"/>
    <w:rsid w:val="00E741C7"/>
    <w:rsid w:val="00E763BD"/>
    <w:rsid w:val="00E81610"/>
    <w:rsid w:val="00E87D5C"/>
    <w:rsid w:val="00E91856"/>
    <w:rsid w:val="00EC5328"/>
    <w:rsid w:val="00ED1CB7"/>
    <w:rsid w:val="00ED47B6"/>
    <w:rsid w:val="00ED7C6B"/>
    <w:rsid w:val="00F070DC"/>
    <w:rsid w:val="00F15D49"/>
    <w:rsid w:val="00F5078F"/>
    <w:rsid w:val="00F507B9"/>
    <w:rsid w:val="00F538AE"/>
    <w:rsid w:val="00F61661"/>
    <w:rsid w:val="00F813F8"/>
    <w:rsid w:val="00F84BD9"/>
    <w:rsid w:val="00FA2C0B"/>
    <w:rsid w:val="00FB4EF8"/>
    <w:rsid w:val="00FB55D3"/>
    <w:rsid w:val="00FB663C"/>
    <w:rsid w:val="00FB6C8B"/>
    <w:rsid w:val="00FB7BDC"/>
    <w:rsid w:val="00FC30D4"/>
    <w:rsid w:val="00FE44C0"/>
    <w:rsid w:val="00FE67F0"/>
    <w:rsid w:val="00FE7942"/>
    <w:rsid w:val="00FF2562"/>
    <w:rsid w:val="00FF4F2E"/>
    <w:rsid w:val="00FF6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28D0"/>
    <w:pPr>
      <w:ind w:left="720"/>
    </w:pPr>
  </w:style>
  <w:style w:type="character" w:styleId="CommentReference">
    <w:name w:val="annotation reference"/>
    <w:basedOn w:val="DefaultParagraphFont"/>
    <w:rsid w:val="00EC5328"/>
    <w:rPr>
      <w:sz w:val="16"/>
      <w:szCs w:val="16"/>
    </w:rPr>
  </w:style>
  <w:style w:type="paragraph" w:styleId="CommentText">
    <w:name w:val="annotation text"/>
    <w:basedOn w:val="Normal"/>
    <w:link w:val="CommentTextChar"/>
    <w:rsid w:val="00EC5328"/>
  </w:style>
  <w:style w:type="character" w:customStyle="1" w:styleId="CommentTextChar">
    <w:name w:val="Comment Text Char"/>
    <w:basedOn w:val="DefaultParagraphFont"/>
    <w:link w:val="CommentText"/>
    <w:rsid w:val="00EC5328"/>
  </w:style>
  <w:style w:type="paragraph" w:styleId="CommentSubject">
    <w:name w:val="annotation subject"/>
    <w:basedOn w:val="CommentText"/>
    <w:next w:val="CommentText"/>
    <w:link w:val="CommentSubjectChar"/>
    <w:rsid w:val="00EC5328"/>
    <w:rPr>
      <w:b/>
      <w:bCs/>
    </w:rPr>
  </w:style>
  <w:style w:type="character" w:customStyle="1" w:styleId="CommentSubjectChar">
    <w:name w:val="Comment Subject Char"/>
    <w:basedOn w:val="CommentTextChar"/>
    <w:link w:val="CommentSubject"/>
    <w:rsid w:val="00EC5328"/>
    <w:rPr>
      <w:b/>
      <w:bCs/>
    </w:rPr>
  </w:style>
  <w:style w:type="paragraph" w:styleId="BalloonText">
    <w:name w:val="Balloon Text"/>
    <w:basedOn w:val="Normal"/>
    <w:link w:val="BalloonTextChar"/>
    <w:rsid w:val="00EC5328"/>
    <w:rPr>
      <w:rFonts w:ascii="Tahoma" w:hAnsi="Tahoma" w:cs="Tahoma"/>
      <w:sz w:val="16"/>
      <w:szCs w:val="16"/>
    </w:rPr>
  </w:style>
  <w:style w:type="character" w:customStyle="1" w:styleId="BalloonTextChar">
    <w:name w:val="Balloon Text Char"/>
    <w:basedOn w:val="DefaultParagraphFont"/>
    <w:link w:val="BalloonText"/>
    <w:rsid w:val="00EC53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458378185">
      <w:bodyDiv w:val="1"/>
      <w:marLeft w:val="0"/>
      <w:marRight w:val="0"/>
      <w:marTop w:val="0"/>
      <w:marBottom w:val="0"/>
      <w:divBdr>
        <w:top w:val="none" w:sz="0" w:space="0" w:color="auto"/>
        <w:left w:val="none" w:sz="0" w:space="0" w:color="auto"/>
        <w:bottom w:val="none" w:sz="0" w:space="0" w:color="auto"/>
        <w:right w:val="none" w:sz="0" w:space="0" w:color="auto"/>
      </w:divBdr>
    </w:div>
    <w:div w:id="1735928800">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 w:id="208575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2633</Words>
  <Characters>14093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2015-02-24T01:21:00Z</dcterms:created>
  <dcterms:modified xsi:type="dcterms:W3CDTF">2015-02-24T01:46:00Z</dcterms:modified>
</cp:coreProperties>
</file>